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N w:val="0"/>
        <w:jc w:val="center"/>
        <w:textAlignment w:val="bottom"/>
        <w:rPr>
          <w:rFonts w:ascii="宋体" w:hAnsi="宋体"/>
          <w:b/>
          <w:bCs/>
          <w:color w:val="000000"/>
          <w:sz w:val="32"/>
        </w:rPr>
      </w:pPr>
      <w:r>
        <w:rPr>
          <w:rFonts w:hint="eastAsia" w:ascii="宋体" w:hAnsi="宋体"/>
          <w:b/>
          <w:bCs/>
          <w:color w:val="000000"/>
          <w:sz w:val="32"/>
        </w:rPr>
        <w:t>美术学院研究生综合素质评定细则（</w:t>
      </w:r>
      <w:r>
        <w:rPr>
          <w:rFonts w:hint="eastAsia" w:ascii="宋体" w:hAnsi="宋体"/>
          <w:b/>
          <w:bCs/>
          <w:color w:val="000000"/>
          <w:sz w:val="32"/>
          <w:lang w:eastAsia="zh-CN"/>
        </w:rPr>
        <w:t>试行</w:t>
      </w:r>
      <w:r>
        <w:rPr>
          <w:rFonts w:hint="eastAsia" w:ascii="宋体" w:hAnsi="宋体"/>
          <w:b/>
          <w:bCs/>
          <w:color w:val="000000"/>
          <w:sz w:val="32"/>
        </w:rPr>
        <w:t>）</w:t>
      </w:r>
    </w:p>
    <w:p>
      <w:pPr>
        <w:autoSpaceDN w:val="0"/>
        <w:spacing w:line="360" w:lineRule="auto"/>
        <w:jc w:val="left"/>
        <w:textAlignment w:val="bottom"/>
        <w:rPr>
          <w:rFonts w:ascii="宋体" w:hAnsi="宋体"/>
          <w:b/>
          <w:color w:val="000000"/>
          <w:sz w:val="24"/>
        </w:rPr>
      </w:pPr>
      <w:r>
        <w:rPr>
          <w:rFonts w:hint="eastAsia" w:ascii="宋体" w:hAnsi="宋体"/>
          <w:b/>
          <w:color w:val="000000"/>
          <w:sz w:val="24"/>
        </w:rPr>
        <w:t>一、评定对象：</w:t>
      </w:r>
    </w:p>
    <w:p>
      <w:pPr>
        <w:autoSpaceDN w:val="0"/>
        <w:spacing w:line="360" w:lineRule="auto"/>
        <w:ind w:left="480"/>
        <w:jc w:val="left"/>
        <w:textAlignment w:val="bottom"/>
        <w:rPr>
          <w:rFonts w:ascii="宋体" w:hAnsi="宋体"/>
          <w:color w:val="000000"/>
          <w:sz w:val="24"/>
        </w:rPr>
      </w:pPr>
      <w:r>
        <w:rPr>
          <w:rFonts w:hint="eastAsia" w:ascii="宋体" w:hAnsi="宋体"/>
          <w:color w:val="000000"/>
          <w:sz w:val="24"/>
        </w:rPr>
        <w:t>全日制在校二、三年级研究生（包括学术型和专业学位）。</w:t>
      </w:r>
    </w:p>
    <w:p>
      <w:pPr>
        <w:autoSpaceDN w:val="0"/>
        <w:spacing w:line="360" w:lineRule="auto"/>
        <w:jc w:val="left"/>
        <w:textAlignment w:val="bottom"/>
        <w:rPr>
          <w:rFonts w:ascii="宋体" w:hAnsi="宋体"/>
          <w:b/>
          <w:color w:val="000000"/>
          <w:sz w:val="24"/>
        </w:rPr>
      </w:pPr>
      <w:r>
        <w:rPr>
          <w:rFonts w:hint="eastAsia" w:ascii="宋体" w:hAnsi="宋体"/>
          <w:b/>
          <w:color w:val="000000"/>
          <w:sz w:val="24"/>
        </w:rPr>
        <w:t>二、支撑材料时效：</w:t>
      </w:r>
    </w:p>
    <w:p>
      <w:pPr>
        <w:autoSpaceDN w:val="0"/>
        <w:spacing w:line="360" w:lineRule="auto"/>
        <w:ind w:firstLine="470" w:firstLineChars="196"/>
        <w:jc w:val="left"/>
        <w:textAlignment w:val="bottom"/>
        <w:rPr>
          <w:rFonts w:ascii="宋体" w:hAnsi="宋体"/>
          <w:color w:val="000000"/>
          <w:sz w:val="24"/>
        </w:rPr>
      </w:pPr>
      <w:r>
        <w:rPr>
          <w:rFonts w:hint="eastAsia" w:ascii="宋体" w:hAnsi="宋体"/>
          <w:color w:val="000000"/>
          <w:sz w:val="24"/>
        </w:rPr>
        <w:t>自上年9月1日至当年8月31日。</w:t>
      </w:r>
    </w:p>
    <w:p>
      <w:pPr>
        <w:autoSpaceDN w:val="0"/>
        <w:spacing w:line="360" w:lineRule="auto"/>
        <w:jc w:val="left"/>
        <w:textAlignment w:val="bottom"/>
        <w:rPr>
          <w:rFonts w:ascii="宋体" w:hAnsi="宋体"/>
          <w:b/>
          <w:color w:val="000000"/>
          <w:sz w:val="24"/>
        </w:rPr>
      </w:pPr>
      <w:r>
        <w:rPr>
          <w:rFonts w:hint="eastAsia" w:ascii="宋体" w:hAnsi="宋体"/>
          <w:b/>
          <w:color w:val="000000"/>
          <w:sz w:val="24"/>
        </w:rPr>
        <w:t>三、等级评定及分值计算：</w:t>
      </w:r>
    </w:p>
    <w:p>
      <w:pPr>
        <w:autoSpaceDN w:val="0"/>
        <w:spacing w:line="360" w:lineRule="auto"/>
        <w:ind w:firstLine="480" w:firstLineChars="200"/>
        <w:jc w:val="left"/>
        <w:textAlignment w:val="bottom"/>
        <w:rPr>
          <w:rFonts w:ascii="宋体" w:hAnsi="宋体"/>
          <w:color w:val="000000"/>
          <w:sz w:val="24"/>
        </w:rPr>
      </w:pPr>
      <w:r>
        <w:rPr>
          <w:rFonts w:hint="eastAsia" w:ascii="宋体" w:hAnsi="宋体"/>
          <w:color w:val="000000"/>
          <w:sz w:val="24"/>
        </w:rPr>
        <w:t>研究生综合素质评价内容为研究生在上一学年思想品德、学业水平、科研与创新创业、实践活动四个方面。按综合素质总分排序，40%优秀、40%良好，20%合格，若参评者有两项被评为“不合格”，则该年的综合素质成绩评定为“不合格”。</w:t>
      </w:r>
    </w:p>
    <w:p>
      <w:pPr>
        <w:autoSpaceDN w:val="0"/>
        <w:spacing w:line="360" w:lineRule="auto"/>
        <w:jc w:val="left"/>
        <w:textAlignment w:val="bottom"/>
        <w:rPr>
          <w:rFonts w:ascii="宋体" w:hAnsi="宋体"/>
          <w:b/>
          <w:color w:val="000000"/>
          <w:sz w:val="24"/>
        </w:rPr>
      </w:pPr>
      <w:r>
        <w:rPr>
          <w:rFonts w:hint="eastAsia" w:ascii="宋体" w:hAnsi="宋体"/>
          <w:b/>
          <w:color w:val="FF0000"/>
          <w:sz w:val="22"/>
        </w:rPr>
        <w:t>综合素质分=思想品德*%15%+学业水平*10%+科研与创新创业*60%+实践活动*15%</w:t>
      </w:r>
    </w:p>
    <w:p>
      <w:pPr>
        <w:pStyle w:val="10"/>
        <w:numPr>
          <w:ilvl w:val="0"/>
          <w:numId w:val="1"/>
        </w:numPr>
        <w:autoSpaceDN w:val="0"/>
        <w:spacing w:line="360" w:lineRule="auto"/>
        <w:ind w:firstLineChars="0"/>
        <w:jc w:val="left"/>
        <w:textAlignment w:val="bottom"/>
        <w:rPr>
          <w:rFonts w:ascii="宋体" w:hAnsi="宋体"/>
          <w:b/>
          <w:color w:val="000000"/>
          <w:sz w:val="24"/>
        </w:rPr>
      </w:pPr>
      <w:r>
        <w:rPr>
          <w:rFonts w:hint="eastAsia" w:ascii="宋体" w:hAnsi="宋体"/>
          <w:b/>
          <w:color w:val="000000"/>
          <w:sz w:val="24"/>
        </w:rPr>
        <w:t>思想品德</w:t>
      </w:r>
    </w:p>
    <w:p>
      <w:pPr>
        <w:autoSpaceDN w:val="0"/>
        <w:spacing w:line="360" w:lineRule="auto"/>
        <w:ind w:firstLine="480" w:firstLineChars="200"/>
        <w:jc w:val="left"/>
        <w:textAlignment w:val="bottom"/>
        <w:rPr>
          <w:rFonts w:ascii="宋体" w:hAnsi="宋体"/>
          <w:color w:val="000000"/>
          <w:sz w:val="24"/>
        </w:rPr>
      </w:pPr>
      <w:r>
        <w:rPr>
          <w:rFonts w:hint="eastAsia" w:ascii="宋体" w:hAnsi="宋体"/>
          <w:color w:val="000000"/>
          <w:sz w:val="24"/>
        </w:rPr>
        <w:t>思想品德是对研究生思想政治、遵纪守法、集体意识、社会工作等方面表现的综合评价，</w:t>
      </w:r>
      <w:r>
        <w:rPr>
          <w:rFonts w:hint="eastAsia" w:ascii="宋体" w:hAnsi="宋体"/>
          <w:color w:val="FF0000"/>
          <w:sz w:val="24"/>
        </w:rPr>
        <w:t>基础分60分</w:t>
      </w:r>
      <w:r>
        <w:rPr>
          <w:rFonts w:hint="eastAsia" w:ascii="宋体" w:hAnsi="宋体"/>
          <w:color w:val="000000"/>
          <w:sz w:val="24"/>
        </w:rPr>
        <w:t>。</w:t>
      </w:r>
    </w:p>
    <w:tbl>
      <w:tblPr>
        <w:tblStyle w:val="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76"/>
        <w:gridCol w:w="283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类别</w:t>
            </w: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项目</w:t>
            </w:r>
          </w:p>
        </w:tc>
        <w:tc>
          <w:tcPr>
            <w:tcW w:w="2835"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分值</w:t>
            </w:r>
          </w:p>
        </w:tc>
        <w:tc>
          <w:tcPr>
            <w:tcW w:w="1843"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restart"/>
            <w:tcBorders>
              <w:top w:val="single" w:color="auto" w:sz="4" w:space="0"/>
              <w:left w:val="single" w:color="auto" w:sz="4" w:space="0"/>
              <w:right w:val="single" w:color="auto" w:sz="4" w:space="0"/>
            </w:tcBorders>
          </w:tcPr>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p>
          <w:p>
            <w:pPr>
              <w:widowControl/>
              <w:jc w:val="left"/>
              <w:rPr>
                <w:rFonts w:eastAsia="宋体"/>
              </w:rPr>
            </w:pPr>
            <w:r>
              <w:rPr>
                <w:rFonts w:hint="eastAsia" w:ascii="仿宋_GB2312" w:hAnsi="宋体" w:eastAsia="仿宋_GB2312"/>
                <w:b/>
                <w:color w:val="000000"/>
                <w:sz w:val="24"/>
                <w:szCs w:val="20"/>
              </w:rPr>
              <w:t>加分项</w:t>
            </w:r>
          </w:p>
        </w:tc>
        <w:tc>
          <w:tcPr>
            <w:tcW w:w="2976" w:type="dxa"/>
            <w:tcBorders>
              <w:top w:val="single" w:color="auto" w:sz="4" w:space="0"/>
              <w:left w:val="single" w:color="auto" w:sz="4" w:space="0"/>
              <w:bottom w:val="single" w:color="auto" w:sz="4" w:space="0"/>
              <w:righ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思想进取</w:t>
            </w:r>
          </w:p>
        </w:tc>
        <w:tc>
          <w:tcPr>
            <w:tcW w:w="2835"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olor w:val="000000"/>
                <w:kern w:val="0"/>
                <w:szCs w:val="21"/>
              </w:rPr>
            </w:pPr>
            <w:r>
              <w:rPr>
                <w:rFonts w:hint="eastAsia" w:ascii="仿宋_GB2312" w:hAnsi="宋体" w:eastAsia="仿宋_GB2312"/>
                <w:color w:val="000000"/>
                <w:kern w:val="0"/>
                <w:szCs w:val="21"/>
              </w:rPr>
              <w:t>思想政治表现突出、获得各级部门通报表彰表扬和党团先进个人荣誉称号。</w:t>
            </w:r>
          </w:p>
          <w:p>
            <w:pPr>
              <w:rPr>
                <w:rFonts w:ascii="仿宋_GB2312" w:hAnsi="宋体" w:eastAsia="仿宋_GB2312"/>
                <w:color w:val="000000"/>
                <w:kern w:val="0"/>
                <w:szCs w:val="21"/>
              </w:rPr>
            </w:pPr>
            <w:r>
              <w:rPr>
                <w:rFonts w:hint="eastAsia" w:ascii="仿宋_GB2312" w:hAnsi="宋体" w:eastAsia="仿宋_GB2312"/>
                <w:color w:val="000000"/>
                <w:kern w:val="0"/>
                <w:szCs w:val="21"/>
              </w:rPr>
              <w:t>国家级荣誉20分；</w:t>
            </w:r>
          </w:p>
          <w:p>
            <w:pPr>
              <w:rPr>
                <w:rFonts w:ascii="仿宋_GB2312" w:hAnsi="宋体" w:eastAsia="仿宋_GB2312"/>
                <w:color w:val="000000"/>
                <w:kern w:val="0"/>
                <w:szCs w:val="21"/>
              </w:rPr>
            </w:pPr>
            <w:r>
              <w:rPr>
                <w:rFonts w:hint="eastAsia" w:ascii="仿宋_GB2312" w:hAnsi="宋体" w:eastAsia="仿宋_GB2312"/>
                <w:color w:val="000000"/>
                <w:kern w:val="0"/>
                <w:szCs w:val="21"/>
              </w:rPr>
              <w:t>省级荣誉10分；</w:t>
            </w:r>
          </w:p>
          <w:p>
            <w:pPr>
              <w:rPr>
                <w:rFonts w:ascii="仿宋_GB2312" w:hAnsi="宋体" w:eastAsia="仿宋_GB2312"/>
                <w:color w:val="000000"/>
                <w:kern w:val="0"/>
                <w:szCs w:val="21"/>
              </w:rPr>
            </w:pPr>
            <w:r>
              <w:rPr>
                <w:rFonts w:hint="eastAsia" w:ascii="仿宋_GB2312" w:hAnsi="宋体" w:eastAsia="仿宋_GB2312"/>
                <w:color w:val="000000"/>
                <w:kern w:val="0"/>
                <w:szCs w:val="21"/>
              </w:rPr>
              <w:t>市级荣誉5分；</w:t>
            </w:r>
          </w:p>
          <w:p>
            <w:pPr>
              <w:rPr>
                <w:rFonts w:eastAsia="宋体"/>
              </w:rPr>
            </w:pPr>
            <w:r>
              <w:rPr>
                <w:rFonts w:hint="eastAsia" w:ascii="仿宋_GB2312" w:hAnsi="宋体" w:eastAsia="仿宋_GB2312"/>
                <w:color w:val="000000"/>
                <w:kern w:val="0"/>
                <w:szCs w:val="21"/>
              </w:rPr>
              <w:t>校级荣誉2分。</w:t>
            </w:r>
          </w:p>
        </w:tc>
        <w:tc>
          <w:tcPr>
            <w:tcW w:w="1843" w:type="dxa"/>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olor w:val="000000"/>
                <w:kern w:val="0"/>
                <w:szCs w:val="21"/>
              </w:rPr>
            </w:pPr>
          </w:p>
          <w:p>
            <w:pPr>
              <w:jc w:val="center"/>
              <w:rPr>
                <w:rFonts w:ascii="仿宋_GB2312" w:hAnsi="宋体" w:eastAsia="仿宋_GB2312"/>
                <w:color w:val="000000"/>
                <w:kern w:val="0"/>
                <w:szCs w:val="21"/>
              </w:rPr>
            </w:pPr>
            <w:r>
              <w:rPr>
                <w:rFonts w:hint="eastAsia" w:ascii="仿宋_GB2312" w:hAnsi="宋体" w:eastAsia="仿宋_GB2312"/>
                <w:color w:val="000000"/>
                <w:kern w:val="0"/>
                <w:szCs w:val="21"/>
              </w:rPr>
              <w:t>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top w:val="single" w:color="auto" w:sz="4" w:space="0"/>
              <w:left w:val="single" w:color="auto" w:sz="4" w:space="0"/>
              <w:bottom w:val="single" w:color="auto" w:sz="4" w:space="0"/>
              <w:right w:val="single" w:color="auto" w:sz="4" w:space="0"/>
            </w:tcBorders>
            <w:vAlign w:val="center"/>
          </w:tcPr>
          <w:p>
            <w:pPr>
              <w:widowControl/>
              <w:jc w:val="both"/>
              <w:rPr>
                <w:rFonts w:ascii="仿宋_GB2312" w:hAnsi="宋体" w:eastAsia="仿宋_GB2312"/>
                <w:color w:val="000000"/>
                <w:kern w:val="0"/>
                <w:szCs w:val="21"/>
              </w:rPr>
            </w:pPr>
            <w:r>
              <w:rPr>
                <w:rFonts w:hint="eastAsia" w:ascii="仿宋_GB2312" w:hAnsi="宋体" w:eastAsia="仿宋_GB2312"/>
                <w:color w:val="000000"/>
                <w:kern w:val="0"/>
                <w:szCs w:val="21"/>
              </w:rPr>
              <w:t>政治进步</w:t>
            </w:r>
          </w:p>
        </w:tc>
        <w:tc>
          <w:tcPr>
            <w:tcW w:w="2835" w:type="dxa"/>
            <w:tcBorders>
              <w:top w:val="single" w:color="auto" w:sz="4" w:space="0"/>
              <w:left w:val="single" w:color="auto" w:sz="4" w:space="0"/>
              <w:bottom w:val="single" w:color="auto" w:sz="4" w:space="0"/>
              <w:right w:val="single" w:color="auto" w:sz="4" w:space="0"/>
            </w:tcBorders>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参加发展对象培训班及预备党员培训班并结业，3分；</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撰写思想汇报（党课要求的思想汇报除外）一篇加0.5分，优秀思想汇报发布于校园网者一篇加1分；</w:t>
            </w:r>
          </w:p>
          <w:p>
            <w:pPr>
              <w:widowControl/>
              <w:jc w:val="left"/>
              <w:rPr>
                <w:rFonts w:ascii="仿宋_GB2312" w:hAnsi="宋体" w:eastAsia="仿宋_GB2312"/>
                <w:color w:val="000000"/>
                <w:kern w:val="0"/>
                <w:szCs w:val="21"/>
              </w:rPr>
            </w:pPr>
            <w:r>
              <w:rPr>
                <w:rFonts w:hint="eastAsia" w:ascii="仿宋_GB2312" w:hAnsi="宋体" w:eastAsia="仿宋_GB2312"/>
                <w:color w:val="000000"/>
                <w:kern w:val="0"/>
                <w:szCs w:val="21"/>
              </w:rPr>
              <w:t>学校思政论文竞赛获奖，5分。</w:t>
            </w:r>
          </w:p>
        </w:tc>
        <w:tc>
          <w:tcPr>
            <w:tcW w:w="1843" w:type="dxa"/>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top w:val="single" w:color="auto" w:sz="4" w:space="0"/>
              <w:left w:val="single" w:color="auto" w:sz="4" w:space="0"/>
              <w:bottom w:val="single" w:color="auto" w:sz="4" w:space="0"/>
              <w:righ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学生工作</w:t>
            </w:r>
          </w:p>
        </w:tc>
        <w:tc>
          <w:tcPr>
            <w:tcW w:w="2835" w:type="dxa"/>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olor w:val="000000"/>
                <w:kern w:val="0"/>
                <w:szCs w:val="21"/>
              </w:rPr>
            </w:pPr>
            <w:r>
              <w:rPr>
                <w:rFonts w:hint="eastAsia" w:ascii="仿宋_GB2312" w:hAnsi="宋体" w:eastAsia="仿宋_GB2312"/>
                <w:color w:val="000000"/>
                <w:kern w:val="0"/>
                <w:szCs w:val="21"/>
              </w:rPr>
              <w:t>1.班长、团支书、党支部书记、研会主席、部长:</w:t>
            </w:r>
            <w:r>
              <w:rPr>
                <w:rFonts w:hint="eastAsia" w:eastAsia="Times New Roman"/>
              </w:rPr>
              <w:t xml:space="preserve"> </w:t>
            </w:r>
            <w:r>
              <w:rPr>
                <w:rFonts w:hint="eastAsia" w:ascii="仿宋_GB2312" w:hAnsi="宋体" w:eastAsia="仿宋_GB2312"/>
                <w:color w:val="000000"/>
                <w:kern w:val="0"/>
                <w:szCs w:val="21"/>
              </w:rPr>
              <w:t>优秀4；良好3；一般2。</w:t>
            </w:r>
          </w:p>
          <w:p>
            <w:pPr>
              <w:widowControl/>
              <w:jc w:val="left"/>
              <w:rPr>
                <w:rFonts w:ascii="仿宋_GB2312" w:hAnsi="宋体" w:eastAsia="仿宋_GB2312"/>
                <w:color w:val="000000"/>
                <w:kern w:val="0"/>
                <w:szCs w:val="21"/>
              </w:rPr>
            </w:pPr>
            <w:r>
              <w:rPr>
                <w:rFonts w:hint="eastAsia" w:ascii="仿宋_GB2312" w:hAnsi="宋体" w:eastAsia="仿宋_GB2312"/>
                <w:color w:val="000000"/>
                <w:kern w:val="0"/>
                <w:szCs w:val="21"/>
              </w:rPr>
              <w:t>2.班委、党（团）支委、研会副部长：优秀3；良好2；一般1。</w:t>
            </w:r>
          </w:p>
          <w:p>
            <w:pPr>
              <w:widowControl/>
              <w:jc w:val="left"/>
              <w:rPr>
                <w:rFonts w:ascii="仿宋_GB2312" w:hAnsi="宋体" w:eastAsia="仿宋_GB2312"/>
                <w:color w:val="000000"/>
                <w:kern w:val="0"/>
                <w:szCs w:val="21"/>
              </w:rPr>
            </w:pPr>
            <w:r>
              <w:rPr>
                <w:rFonts w:hint="eastAsia" w:ascii="仿宋_GB2312" w:hAnsi="宋体" w:eastAsia="仿宋_GB2312"/>
                <w:color w:val="000000"/>
                <w:kern w:val="0"/>
                <w:szCs w:val="21"/>
              </w:rPr>
              <w:t>3.研会干事：优秀2；良好1；一般0。</w:t>
            </w:r>
          </w:p>
        </w:tc>
        <w:tc>
          <w:tcPr>
            <w:tcW w:w="1843" w:type="dxa"/>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s="Times New Roman"/>
                <w:color w:val="000000"/>
                <w:kern w:val="0"/>
                <w:szCs w:val="21"/>
              </w:rPr>
            </w:pPr>
            <w:r>
              <w:rPr>
                <w:rFonts w:hint="eastAsia" w:ascii="仿宋_GB2312" w:hAnsi="宋体" w:eastAsia="仿宋_GB2312" w:cs="Times New Roman"/>
                <w:color w:val="000000"/>
                <w:kern w:val="0"/>
                <w:szCs w:val="21"/>
              </w:rPr>
              <w:t>以上均为一年任期计算，若任期不满一年，则按50%折算计分；</w:t>
            </w:r>
          </w:p>
          <w:p>
            <w:pPr>
              <w:widowControl/>
              <w:jc w:val="left"/>
              <w:rPr>
                <w:rFonts w:eastAsia="宋体"/>
              </w:rPr>
            </w:pPr>
            <w:r>
              <w:rPr>
                <w:rFonts w:hint="eastAsia" w:ascii="仿宋_GB2312" w:hAnsi="宋体" w:eastAsia="仿宋_GB2312" w:cs="Times New Roman"/>
                <w:color w:val="000000"/>
                <w:kern w:val="0"/>
                <w:szCs w:val="21"/>
              </w:rPr>
              <w:t>班委由不少于班级人数1/2的同学民主评议，研究生会干部由研会全体成员和指导老师进行评议。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lef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参加文体竞赛和其他非科技活动竞赛及获奖</w:t>
            </w:r>
          </w:p>
        </w:tc>
        <w:tc>
          <w:tcPr>
            <w:tcW w:w="2835" w:type="dxa"/>
          </w:tcPr>
          <w:p>
            <w:pPr>
              <w:widowControl/>
              <w:jc w:val="left"/>
              <w:rPr>
                <w:rFonts w:ascii="仿宋_GB2312" w:hAnsi="宋体" w:eastAsia="仿宋_GB2312"/>
                <w:color w:val="000000"/>
                <w:kern w:val="0"/>
                <w:szCs w:val="21"/>
              </w:rPr>
            </w:pPr>
            <w:r>
              <w:rPr>
                <w:rFonts w:hint="eastAsia" w:ascii="仿宋_GB2312" w:hAnsi="宋体" w:eastAsia="仿宋_GB2312"/>
                <w:color w:val="000000"/>
                <w:kern w:val="0"/>
                <w:szCs w:val="21"/>
              </w:rPr>
              <w:t>1.参加文体比赛的同学，每届每项按照国家级、省级、市级、校级、学院级分别加6分、4分、3分、2分、1分。球类比赛每届参赛场次超过4场者，超出部分按每场另加1分计算。</w:t>
            </w:r>
          </w:p>
          <w:p>
            <w:pPr>
              <w:pStyle w:val="2"/>
              <w:adjustRightInd w:val="0"/>
              <w:snapToGrid w:val="0"/>
              <w:spacing w:line="440" w:lineRule="exact"/>
              <w:rPr>
                <w:rFonts w:ascii="仿宋_GB2312" w:hAnsi="宋体" w:eastAsia="仿宋_GB2312"/>
                <w:color w:val="000000"/>
                <w:kern w:val="0"/>
                <w:szCs w:val="21"/>
              </w:rPr>
            </w:pPr>
            <w:r>
              <w:rPr>
                <w:rFonts w:hint="eastAsia" w:ascii="仿宋_GB2312" w:hAnsi="宋体" w:eastAsia="仿宋_GB2312"/>
                <w:color w:val="000000"/>
                <w:kern w:val="0"/>
                <w:szCs w:val="21"/>
              </w:rPr>
              <w:t>2.在文艺竞赛中获得名次的演出者，按照校级特等、一、二、三等奖和鼓励奖分别加5、4、3、2、1分；市级的获奖者按校级的1.5倍计分；省级的获奖者按校级的2倍计分；国家级的获奖者按校级的3倍计分；学院级的获奖按校级的0.5倍计分。</w:t>
            </w:r>
          </w:p>
          <w:p>
            <w:pPr>
              <w:widowControl/>
              <w:jc w:val="left"/>
              <w:rPr>
                <w:rFonts w:ascii="仿宋_GB2312" w:hAnsi="宋体" w:eastAsia="仿宋_GB2312" w:cs="Times New Roman"/>
                <w:color w:val="000000"/>
                <w:kern w:val="0"/>
                <w:szCs w:val="21"/>
              </w:rPr>
            </w:pPr>
          </w:p>
        </w:tc>
        <w:tc>
          <w:tcPr>
            <w:tcW w:w="1843" w:type="dxa"/>
          </w:tcPr>
          <w:p>
            <w:pPr>
              <w:widowControl/>
              <w:jc w:val="left"/>
              <w:rPr>
                <w:rFonts w:eastAsia="宋体"/>
              </w:rPr>
            </w:pPr>
            <w:r>
              <w:rPr>
                <w:rFonts w:hint="eastAsia" w:ascii="仿宋_GB2312" w:hAnsi="宋体" w:eastAsia="仿宋_GB2312"/>
                <w:color w:val="000000"/>
                <w:kern w:val="0"/>
                <w:szCs w:val="21"/>
              </w:rPr>
              <w:t>该项累计得分不超过15分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lef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参加学校学院组织的各类研究生集体活动</w:t>
            </w:r>
          </w:p>
        </w:tc>
        <w:tc>
          <w:tcPr>
            <w:tcW w:w="2835" w:type="dxa"/>
            <w:vAlign w:val="center"/>
          </w:tcPr>
          <w:p>
            <w:pPr>
              <w:widowControl/>
              <w:jc w:val="both"/>
              <w:rPr>
                <w:rFonts w:ascii="仿宋" w:hAnsi="仿宋" w:eastAsia="仿宋"/>
              </w:rPr>
            </w:pPr>
            <w:r>
              <w:rPr>
                <w:rFonts w:hint="eastAsia" w:ascii="仿宋" w:hAnsi="仿宋" w:eastAsia="仿宋" w:cs="Times New Roman"/>
                <w:color w:val="000000"/>
                <w:kern w:val="0"/>
                <w:szCs w:val="21"/>
              </w:rPr>
              <w:t>每次加1分</w:t>
            </w:r>
          </w:p>
        </w:tc>
        <w:tc>
          <w:tcPr>
            <w:tcW w:w="1843" w:type="dxa"/>
            <w:vAlign w:val="center"/>
          </w:tcPr>
          <w:p>
            <w:pPr>
              <w:widowControl/>
              <w:jc w:val="both"/>
              <w:rPr>
                <w:rFonts w:ascii="仿宋" w:hAnsi="仿宋" w:eastAsia="仿宋"/>
              </w:rPr>
            </w:pPr>
            <w:r>
              <w:rPr>
                <w:rFonts w:hint="eastAsia" w:ascii="仿宋" w:hAnsi="仿宋" w:eastAsia="仿宋"/>
              </w:rPr>
              <w:t>以签到表为准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lef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积极参加各类志愿者服务</w:t>
            </w:r>
          </w:p>
        </w:tc>
        <w:tc>
          <w:tcPr>
            <w:tcW w:w="2835" w:type="dxa"/>
            <w:vAlign w:val="center"/>
          </w:tcPr>
          <w:p>
            <w:pPr>
              <w:widowControl/>
              <w:jc w:val="both"/>
              <w:rPr>
                <w:rFonts w:eastAsia="宋体"/>
              </w:rPr>
            </w:pPr>
            <w:r>
              <w:rPr>
                <w:rFonts w:hint="eastAsia" w:ascii="仿宋_GB2312" w:hAnsi="宋体" w:eastAsia="仿宋_GB2312" w:cs="Times New Roman"/>
                <w:color w:val="000000"/>
                <w:kern w:val="0"/>
                <w:szCs w:val="21"/>
              </w:rPr>
              <w:t>按照志愿者服务时数计算，每服务10小时加1分。</w:t>
            </w:r>
          </w:p>
        </w:tc>
        <w:tc>
          <w:tcPr>
            <w:tcW w:w="1843" w:type="dxa"/>
            <w:vAlign w:val="center"/>
          </w:tcPr>
          <w:p>
            <w:pPr>
              <w:widowControl/>
              <w:jc w:val="both"/>
              <w:rPr>
                <w:rFonts w:ascii="仿宋" w:hAnsi="仿宋" w:eastAsia="仿宋"/>
              </w:rPr>
            </w:pPr>
            <w:r>
              <w:rPr>
                <w:rFonts w:hint="eastAsia" w:ascii="仿宋" w:hAnsi="仿宋" w:eastAsia="仿宋"/>
              </w:rPr>
              <w:t>不满10小时不加分，志愿时数以学院彩虹志愿者协会公布数据为准，校外志愿活动需提供主办单位盖章的证明文件。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lef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文明寝室</w:t>
            </w:r>
          </w:p>
        </w:tc>
        <w:tc>
          <w:tcPr>
            <w:tcW w:w="2835" w:type="dxa"/>
          </w:tcPr>
          <w:p>
            <w:pPr>
              <w:widowControl/>
              <w:jc w:val="left"/>
              <w:rPr>
                <w:rFonts w:ascii="仿宋_GB2312" w:hAnsi="宋体" w:eastAsia="仿宋_GB2312" w:cs="Times New Roman"/>
                <w:color w:val="000000"/>
                <w:kern w:val="0"/>
                <w:szCs w:val="21"/>
              </w:rPr>
            </w:pPr>
            <w:r>
              <w:rPr>
                <w:rFonts w:hint="eastAsia" w:ascii="仿宋_GB2312" w:hAnsi="宋体" w:eastAsia="仿宋_GB2312" w:cs="Times New Roman"/>
                <w:color w:val="000000"/>
                <w:kern w:val="0"/>
                <w:szCs w:val="21"/>
              </w:rPr>
              <w:t>被评为校文明寝室的或者受到学校表扬的，所在寝室成员每人分别加2分、1分；</w:t>
            </w:r>
          </w:p>
          <w:p>
            <w:pPr>
              <w:widowControl/>
              <w:jc w:val="left"/>
              <w:rPr>
                <w:rFonts w:eastAsia="宋体"/>
              </w:rPr>
            </w:pPr>
            <w:r>
              <w:rPr>
                <w:rFonts w:hint="eastAsia" w:ascii="仿宋_GB2312" w:hAnsi="宋体" w:eastAsia="仿宋_GB2312" w:cs="Times New Roman"/>
                <w:color w:val="000000"/>
                <w:kern w:val="0"/>
                <w:szCs w:val="21"/>
              </w:rPr>
              <w:t>寝室检查优秀寝室每次每人加0.5分。</w:t>
            </w:r>
          </w:p>
        </w:tc>
        <w:tc>
          <w:tcPr>
            <w:tcW w:w="1843" w:type="dxa"/>
          </w:tcPr>
          <w:p>
            <w:pPr>
              <w:widowControl/>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left w:val="single" w:color="auto" w:sz="4" w:space="0"/>
              <w:right w:val="single" w:color="auto" w:sz="4" w:space="0"/>
            </w:tcBorders>
          </w:tcPr>
          <w:p>
            <w:pPr>
              <w:widowControl/>
              <w:jc w:val="left"/>
              <w:rPr>
                <w:rFonts w:eastAsia="宋体"/>
              </w:rPr>
            </w:pPr>
          </w:p>
        </w:tc>
        <w:tc>
          <w:tcPr>
            <w:tcW w:w="2976" w:type="dxa"/>
            <w:tcBorders>
              <w:left w:val="single" w:color="auto" w:sz="4" w:space="0"/>
            </w:tcBorders>
            <w:vAlign w:val="center"/>
          </w:tcPr>
          <w:p>
            <w:pPr>
              <w:widowControl/>
              <w:jc w:val="both"/>
              <w:rPr>
                <w:rFonts w:eastAsia="宋体"/>
              </w:rPr>
            </w:pPr>
            <w:r>
              <w:rPr>
                <w:rFonts w:hint="eastAsia" w:ascii="仿宋_GB2312" w:hAnsi="宋体" w:eastAsia="仿宋_GB2312"/>
                <w:color w:val="000000"/>
                <w:kern w:val="0"/>
                <w:szCs w:val="21"/>
              </w:rPr>
              <w:t>特殊经历</w:t>
            </w:r>
          </w:p>
        </w:tc>
        <w:tc>
          <w:tcPr>
            <w:tcW w:w="2835" w:type="dxa"/>
          </w:tcPr>
          <w:p>
            <w:pPr>
              <w:widowControl/>
              <w:jc w:val="left"/>
              <w:rPr>
                <w:rFonts w:eastAsia="宋体"/>
              </w:rPr>
            </w:pPr>
            <w:r>
              <w:rPr>
                <w:rFonts w:hint="eastAsia" w:ascii="仿宋_GB2312" w:hAnsi="宋体" w:eastAsia="仿宋_GB2312"/>
                <w:color w:val="000000"/>
                <w:kern w:val="0"/>
                <w:szCs w:val="21"/>
              </w:rPr>
              <w:t>有自强不息、见义勇为、应征入伍等突出事迹，影响广泛，思想品德类满分。</w:t>
            </w:r>
          </w:p>
        </w:tc>
        <w:tc>
          <w:tcPr>
            <w:tcW w:w="1843" w:type="dxa"/>
          </w:tcPr>
          <w:p>
            <w:pPr>
              <w:widowControl/>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restart"/>
            <w:tcBorders>
              <w:top w:val="single" w:color="auto" w:sz="4" w:space="0"/>
              <w:left w:val="single" w:color="auto" w:sz="4" w:space="0"/>
              <w:bottom w:val="single" w:color="auto" w:sz="4" w:space="0"/>
              <w:right w:val="single" w:color="auto" w:sz="4" w:space="0"/>
            </w:tcBorders>
          </w:tcPr>
          <w:p>
            <w:pPr>
              <w:widowControl/>
              <w:jc w:val="left"/>
              <w:rPr>
                <w:rFonts w:ascii="仿宋_GB2312" w:hAnsi="宋体" w:eastAsia="仿宋_GB2312" w:cs="Times New Roman"/>
                <w:b/>
                <w:color w:val="000000"/>
                <w:sz w:val="24"/>
                <w:szCs w:val="20"/>
              </w:rPr>
            </w:pPr>
          </w:p>
          <w:p>
            <w:pPr>
              <w:widowControl/>
              <w:jc w:val="left"/>
              <w:rPr>
                <w:rFonts w:ascii="仿宋_GB2312" w:hAnsi="宋体" w:eastAsia="仿宋_GB2312"/>
                <w:b/>
                <w:color w:val="000000"/>
                <w:sz w:val="24"/>
                <w:szCs w:val="20"/>
              </w:rPr>
            </w:pPr>
          </w:p>
          <w:p>
            <w:pPr>
              <w:widowControl/>
              <w:jc w:val="left"/>
              <w:rPr>
                <w:rFonts w:ascii="仿宋_GB2312" w:hAnsi="宋体" w:eastAsia="仿宋_GB2312"/>
                <w:b/>
                <w:color w:val="000000"/>
                <w:sz w:val="24"/>
                <w:szCs w:val="20"/>
              </w:rPr>
            </w:pPr>
          </w:p>
          <w:p>
            <w:pPr>
              <w:widowControl/>
              <w:jc w:val="left"/>
              <w:rPr>
                <w:rFonts w:ascii="仿宋_GB2312" w:hAnsi="宋体" w:eastAsia="仿宋_GB2312"/>
                <w:b/>
                <w:color w:val="000000"/>
                <w:sz w:val="24"/>
                <w:szCs w:val="20"/>
              </w:rPr>
            </w:pPr>
          </w:p>
          <w:p>
            <w:pPr>
              <w:widowControl/>
              <w:jc w:val="left"/>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减分项</w:t>
            </w: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jc w:val="both"/>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担任各级学生干部者，未按时完成任务，或无故中途退出者</w:t>
            </w:r>
          </w:p>
        </w:tc>
        <w:tc>
          <w:tcPr>
            <w:tcW w:w="2835" w:type="dxa"/>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rPr>
            </w:pPr>
            <w:r>
              <w:rPr>
                <w:rFonts w:hint="eastAsia" w:ascii="仿宋" w:hAnsi="仿宋" w:eastAsia="仿宋"/>
              </w:rPr>
              <w:t>—4分</w:t>
            </w:r>
          </w:p>
        </w:tc>
        <w:tc>
          <w:tcPr>
            <w:tcW w:w="1843" w:type="dxa"/>
            <w:tcBorders>
              <w:top w:val="single" w:color="auto" w:sz="4" w:space="0"/>
              <w:left w:val="single" w:color="auto" w:sz="4" w:space="0"/>
              <w:bottom w:val="single" w:color="auto" w:sz="4" w:space="0"/>
              <w:right w:val="single" w:color="auto" w:sz="4" w:space="0"/>
            </w:tcBorders>
          </w:tcPr>
          <w:p>
            <w:pPr>
              <w:widowControl/>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jc w:val="both"/>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在文明寝室建设中表现差，卫生检查不合格</w:t>
            </w:r>
          </w:p>
        </w:tc>
        <w:tc>
          <w:tcPr>
            <w:tcW w:w="2835" w:type="dxa"/>
            <w:tcBorders>
              <w:top w:val="single" w:color="auto" w:sz="4" w:space="0"/>
              <w:left w:val="single" w:color="auto" w:sz="4" w:space="0"/>
              <w:bottom w:val="single" w:color="auto" w:sz="4" w:space="0"/>
              <w:right w:val="single" w:color="auto" w:sz="4" w:space="0"/>
            </w:tcBorders>
          </w:tcPr>
          <w:p>
            <w:pPr>
              <w:widowControl/>
              <w:jc w:val="left"/>
              <w:rPr>
                <w:rFonts w:eastAsia="宋体"/>
              </w:rPr>
            </w:pPr>
            <w:r>
              <w:rPr>
                <w:rFonts w:hint="eastAsia" w:ascii="仿宋_GB2312" w:hAnsi="宋体" w:eastAsia="仿宋_GB2312"/>
                <w:color w:val="000000"/>
                <w:szCs w:val="21"/>
              </w:rPr>
              <w:t>在校、学院寝室内务检查中，被评为较差寝室的，该寝室成员每人分别扣1分。</w:t>
            </w:r>
          </w:p>
        </w:tc>
        <w:tc>
          <w:tcPr>
            <w:tcW w:w="1843" w:type="dxa"/>
            <w:tcBorders>
              <w:top w:val="single" w:color="auto" w:sz="4" w:space="0"/>
              <w:left w:val="single" w:color="auto" w:sz="4" w:space="0"/>
              <w:bottom w:val="single" w:color="auto" w:sz="4" w:space="0"/>
              <w:right w:val="single" w:color="auto" w:sz="4" w:space="0"/>
            </w:tcBorders>
          </w:tcPr>
          <w:p>
            <w:pPr>
              <w:widowControl/>
              <w:jc w:val="left"/>
              <w:rPr>
                <w:rFonts w:ascii="仿宋" w:hAnsi="仿宋" w:eastAsia="仿宋"/>
              </w:rPr>
            </w:pPr>
            <w:r>
              <w:rPr>
                <w:rFonts w:hint="eastAsia" w:ascii="仿宋" w:hAnsi="仿宋" w:eastAsia="仿宋"/>
              </w:rPr>
              <w:t>该项得分为—10分，“思想品德”评定为</w:t>
            </w:r>
            <w:r>
              <w:rPr>
                <w:rFonts w:hint="eastAsia" w:ascii="仿宋" w:hAnsi="仿宋" w:eastAsia="仿宋"/>
                <w:color w:val="FF0000"/>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jc w:val="both"/>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在寝室使用大功率电器、饲养宠物。</w:t>
            </w:r>
          </w:p>
        </w:tc>
        <w:tc>
          <w:tcPr>
            <w:tcW w:w="2835" w:type="dxa"/>
            <w:tcBorders>
              <w:top w:val="single" w:color="auto" w:sz="4" w:space="0"/>
              <w:left w:val="single" w:color="auto" w:sz="4" w:space="0"/>
              <w:bottom w:val="single" w:color="auto" w:sz="4" w:space="0"/>
              <w:right w:val="single" w:color="auto" w:sz="4" w:space="0"/>
            </w:tcBorders>
            <w:vAlign w:val="center"/>
          </w:tcPr>
          <w:p>
            <w:pPr>
              <w:jc w:val="both"/>
              <w:rPr>
                <w:rFonts w:eastAsia="宋体"/>
              </w:rPr>
            </w:pPr>
            <w:r>
              <w:rPr>
                <w:rFonts w:hint="eastAsia" w:ascii="仿宋_GB2312" w:hAnsi="宋体" w:eastAsia="仿宋_GB2312"/>
                <w:color w:val="000000"/>
                <w:szCs w:val="21"/>
              </w:rPr>
              <w:t>查处一次扣3分</w:t>
            </w:r>
          </w:p>
        </w:tc>
        <w:tc>
          <w:tcPr>
            <w:tcW w:w="1843" w:type="dxa"/>
            <w:tcBorders>
              <w:top w:val="single" w:color="auto" w:sz="4" w:space="0"/>
              <w:left w:val="single" w:color="auto" w:sz="4" w:space="0"/>
              <w:bottom w:val="single" w:color="auto" w:sz="4" w:space="0"/>
              <w:right w:val="single" w:color="auto" w:sz="4" w:space="0"/>
            </w:tcBorders>
            <w:vAlign w:val="center"/>
          </w:tcPr>
          <w:p>
            <w:pPr>
              <w:autoSpaceDN w:val="0"/>
              <w:snapToGrid w:val="0"/>
              <w:jc w:val="both"/>
              <w:textAlignment w:val="bottom"/>
              <w:rPr>
                <w:rFonts w:ascii="仿宋_GB2312" w:hAnsi="宋体" w:eastAsia="仿宋_GB2312"/>
                <w:color w:val="000000"/>
                <w:szCs w:val="21"/>
              </w:rPr>
            </w:pPr>
            <w:r>
              <w:rPr>
                <w:rFonts w:hint="eastAsia" w:ascii="仿宋_GB2312" w:hAnsi="宋体" w:eastAsia="仿宋_GB2312"/>
                <w:color w:val="000000"/>
                <w:szCs w:val="21"/>
              </w:rPr>
              <w:t>查处两次</w:t>
            </w:r>
            <w:r>
              <w:rPr>
                <w:rFonts w:hint="eastAsia" w:ascii="仿宋" w:hAnsi="仿宋" w:eastAsia="仿宋"/>
              </w:rPr>
              <w:t>“思想品德”</w:t>
            </w:r>
            <w:r>
              <w:rPr>
                <w:rFonts w:hint="eastAsia" w:ascii="仿宋_GB2312" w:hAnsi="宋体" w:eastAsia="仿宋_GB2312"/>
                <w:color w:val="000000"/>
                <w:szCs w:val="21"/>
              </w:rPr>
              <w:t>评定为</w:t>
            </w:r>
            <w:r>
              <w:rPr>
                <w:rFonts w:hint="eastAsia" w:ascii="仿宋_GB2312" w:hAnsi="宋体" w:eastAsia="仿宋_GB2312"/>
                <w:color w:val="FF0000"/>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jc w:val="both"/>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受到学校、学院通报批评或纪律处分。</w:t>
            </w:r>
          </w:p>
        </w:tc>
        <w:tc>
          <w:tcPr>
            <w:tcW w:w="2835" w:type="dxa"/>
            <w:tcBorders>
              <w:top w:val="single" w:color="auto" w:sz="4" w:space="0"/>
              <w:left w:val="single" w:color="auto" w:sz="4" w:space="0"/>
              <w:bottom w:val="single" w:color="auto" w:sz="4" w:space="0"/>
              <w:right w:val="single" w:color="auto" w:sz="4" w:space="0"/>
            </w:tcBorders>
          </w:tcPr>
          <w:p>
            <w:pPr>
              <w:widowControl/>
              <w:jc w:val="left"/>
              <w:rPr>
                <w:rFonts w:eastAsia="宋体"/>
              </w:rPr>
            </w:pPr>
            <w:bookmarkStart w:id="0" w:name="_GoBack"/>
            <w:bookmarkEnd w:id="0"/>
          </w:p>
        </w:tc>
        <w:tc>
          <w:tcPr>
            <w:tcW w:w="1843" w:type="dxa"/>
            <w:tcBorders>
              <w:top w:val="single" w:color="auto" w:sz="4" w:space="0"/>
              <w:left w:val="single" w:color="auto" w:sz="4" w:space="0"/>
              <w:bottom w:val="single" w:color="auto" w:sz="4" w:space="0"/>
              <w:right w:val="single" w:color="auto" w:sz="4" w:space="0"/>
            </w:tcBorders>
          </w:tcPr>
          <w:p>
            <w:pPr>
              <w:autoSpaceDN w:val="0"/>
              <w:snapToGrid w:val="0"/>
              <w:textAlignment w:val="bottom"/>
              <w:rPr>
                <w:rFonts w:hint="eastAsia" w:ascii="仿宋_GB2312" w:hAnsi="宋体" w:eastAsia="仿宋_GB2312"/>
                <w:color w:val="000000"/>
                <w:szCs w:val="21"/>
                <w:lang w:eastAsia="zh-CN"/>
              </w:rPr>
            </w:pPr>
            <w:r>
              <w:rPr>
                <w:rFonts w:hint="eastAsia" w:ascii="仿宋" w:hAnsi="仿宋" w:eastAsia="仿宋"/>
              </w:rPr>
              <w:t>“思想品德”</w:t>
            </w:r>
            <w:r>
              <w:rPr>
                <w:rFonts w:hint="eastAsia" w:ascii="仿宋_GB2312" w:hAnsi="宋体" w:eastAsia="仿宋_GB2312"/>
                <w:color w:val="000000"/>
                <w:szCs w:val="21"/>
              </w:rPr>
              <w:t>评定为</w:t>
            </w:r>
            <w:r>
              <w:rPr>
                <w:rFonts w:hint="eastAsia" w:ascii="仿宋_GB2312" w:hAnsi="宋体" w:eastAsia="仿宋_GB2312"/>
                <w:color w:val="FF0000"/>
                <w:szCs w:val="21"/>
              </w:rPr>
              <w:t>不合格</w:t>
            </w:r>
            <w:r>
              <w:rPr>
                <w:rFonts w:hint="eastAsia" w:ascii="仿宋_GB2312" w:hAnsi="宋体" w:eastAsia="仿宋_GB2312"/>
                <w:color w:val="FF0000"/>
                <w:szCs w:val="21"/>
                <w:lang w:eastAsia="zh-CN"/>
              </w:rPr>
              <w:t>，奖学金一票否决</w:t>
            </w:r>
          </w:p>
        </w:tc>
      </w:tr>
    </w:tbl>
    <w:p/>
    <w:p>
      <w:pPr>
        <w:pStyle w:val="10"/>
        <w:numPr>
          <w:ilvl w:val="0"/>
          <w:numId w:val="1"/>
        </w:numPr>
        <w:autoSpaceDN w:val="0"/>
        <w:spacing w:line="360" w:lineRule="auto"/>
        <w:ind w:firstLineChars="0"/>
        <w:jc w:val="left"/>
        <w:textAlignment w:val="bottom"/>
        <w:rPr>
          <w:rFonts w:ascii="宋体" w:hAnsi="宋体"/>
          <w:b/>
          <w:color w:val="000000"/>
          <w:sz w:val="24"/>
        </w:rPr>
      </w:pPr>
      <w:r>
        <w:rPr>
          <w:rFonts w:hint="eastAsia" w:ascii="宋体" w:hAnsi="宋体"/>
          <w:b/>
          <w:color w:val="000000"/>
          <w:sz w:val="24"/>
        </w:rPr>
        <w:t>学业水平</w:t>
      </w:r>
    </w:p>
    <w:p>
      <w:pPr>
        <w:autoSpaceDN w:val="0"/>
        <w:spacing w:line="360" w:lineRule="auto"/>
        <w:ind w:firstLine="480" w:firstLineChars="200"/>
        <w:jc w:val="left"/>
        <w:textAlignment w:val="bottom"/>
        <w:rPr>
          <w:rFonts w:ascii="宋体" w:hAnsi="宋体"/>
          <w:color w:val="000000"/>
          <w:sz w:val="24"/>
        </w:rPr>
      </w:pPr>
      <w:r>
        <w:rPr>
          <w:rFonts w:hint="eastAsia" w:ascii="宋体" w:hAnsi="宋体"/>
          <w:color w:val="000000"/>
          <w:sz w:val="24"/>
        </w:rPr>
        <w:t>学业水平是对研究生的学习态度、学习成绩等方面的综合评价。</w:t>
      </w:r>
    </w:p>
    <w:p>
      <w:pPr>
        <w:autoSpaceDN w:val="0"/>
        <w:spacing w:line="360" w:lineRule="auto"/>
        <w:jc w:val="left"/>
        <w:textAlignment w:val="bottom"/>
        <w:rPr>
          <w:rFonts w:ascii="宋体" w:hAnsi="宋体"/>
          <w:b/>
          <w:color w:val="000000"/>
          <w:sz w:val="24"/>
        </w:rPr>
      </w:pPr>
    </w:p>
    <w:tbl>
      <w:tblPr>
        <w:tblStyle w:val="7"/>
        <w:tblW w:w="97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048"/>
        <w:gridCol w:w="1975"/>
        <w:gridCol w:w="1975"/>
        <w:gridCol w:w="38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945"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类别</w:t>
            </w:r>
          </w:p>
        </w:tc>
        <w:tc>
          <w:tcPr>
            <w:tcW w:w="1048"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年级</w:t>
            </w:r>
          </w:p>
        </w:tc>
        <w:tc>
          <w:tcPr>
            <w:tcW w:w="1975" w:type="dxa"/>
            <w:tcBorders>
              <w:top w:val="single" w:color="auto" w:sz="4" w:space="0"/>
              <w:left w:val="single" w:color="auto" w:sz="4" w:space="0"/>
              <w:bottom w:val="single" w:color="auto" w:sz="4" w:space="0"/>
              <w:right w:val="single" w:color="auto" w:sz="4" w:space="0"/>
            </w:tcBorders>
          </w:tcPr>
          <w:p>
            <w:pPr>
              <w:autoSpaceDN w:val="0"/>
              <w:spacing w:line="360" w:lineRule="auto"/>
              <w:jc w:val="center"/>
              <w:textAlignment w:val="bottom"/>
              <w:rPr>
                <w:rFonts w:ascii="仿宋_GB2312" w:hAnsi="宋体" w:eastAsia="仿宋_GB2312"/>
                <w:b/>
                <w:color w:val="000000"/>
                <w:sz w:val="24"/>
                <w:szCs w:val="20"/>
              </w:rPr>
            </w:pPr>
            <w:r>
              <w:rPr>
                <w:rFonts w:hint="eastAsia" w:ascii="仿宋_GB2312" w:hAnsi="宋体" w:eastAsia="仿宋_GB2312"/>
                <w:b/>
                <w:color w:val="000000"/>
                <w:sz w:val="24"/>
                <w:szCs w:val="20"/>
              </w:rPr>
              <w:t>项目</w:t>
            </w:r>
          </w:p>
        </w:tc>
        <w:tc>
          <w:tcPr>
            <w:tcW w:w="1975"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分值</w:t>
            </w:r>
          </w:p>
        </w:tc>
        <w:tc>
          <w:tcPr>
            <w:tcW w:w="3839"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trPr>
        <w:tc>
          <w:tcPr>
            <w:tcW w:w="945" w:type="dxa"/>
            <w:vMerge w:val="restart"/>
          </w:tcPr>
          <w:p>
            <w:pPr>
              <w:widowControl/>
              <w:jc w:val="left"/>
              <w:rPr>
                <w:rFonts w:ascii="仿宋_GB2312" w:hAnsi="宋体" w:eastAsia="仿宋_GB2312"/>
                <w:b/>
                <w:color w:val="000000"/>
                <w:sz w:val="24"/>
                <w:szCs w:val="20"/>
              </w:rPr>
            </w:pPr>
          </w:p>
          <w:p>
            <w:pPr>
              <w:widowControl/>
              <w:jc w:val="left"/>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加分项</w:t>
            </w:r>
          </w:p>
        </w:tc>
        <w:tc>
          <w:tcPr>
            <w:tcW w:w="1048"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研二</w:t>
            </w:r>
          </w:p>
        </w:tc>
        <w:tc>
          <w:tcPr>
            <w:tcW w:w="1975"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上学年两学期政治、英语（日语）</w:t>
            </w:r>
          </w:p>
        </w:tc>
        <w:tc>
          <w:tcPr>
            <w:tcW w:w="1975"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两者平均分</w:t>
            </w:r>
          </w:p>
        </w:tc>
        <w:tc>
          <w:tcPr>
            <w:tcW w:w="3839" w:type="dxa"/>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英语免修同学只计算政治平均成绩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4" w:hRule="atLeast"/>
        </w:trPr>
        <w:tc>
          <w:tcPr>
            <w:tcW w:w="945" w:type="dxa"/>
            <w:vMerge w:val="continue"/>
          </w:tcPr>
          <w:p>
            <w:pPr>
              <w:widowControl/>
              <w:jc w:val="left"/>
              <w:rPr>
                <w:rFonts w:ascii="仿宋_GB2312" w:hAnsi="宋体" w:eastAsia="仿宋_GB2312" w:cs="Times New Roman"/>
                <w:b/>
                <w:color w:val="000000"/>
                <w:sz w:val="24"/>
                <w:szCs w:val="20"/>
              </w:rPr>
            </w:pPr>
          </w:p>
        </w:tc>
        <w:tc>
          <w:tcPr>
            <w:tcW w:w="1048"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研三</w:t>
            </w:r>
          </w:p>
        </w:tc>
        <w:tc>
          <w:tcPr>
            <w:tcW w:w="1975"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毕业论文开题</w:t>
            </w:r>
          </w:p>
        </w:tc>
        <w:tc>
          <w:tcPr>
            <w:tcW w:w="1975"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开题报告答辩一次通过100分；</w:t>
            </w:r>
          </w:p>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二次通过60分。</w:t>
            </w:r>
          </w:p>
        </w:tc>
        <w:tc>
          <w:tcPr>
            <w:tcW w:w="3839" w:type="dxa"/>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毕业研究生省优、校优评选时：</w:t>
            </w:r>
          </w:p>
          <w:p>
            <w:pPr>
              <w:autoSpaceDN w:val="0"/>
              <w:snapToGrid w:val="0"/>
              <w:jc w:val="left"/>
              <w:textAlignment w:val="bottom"/>
              <w:rPr>
                <w:rFonts w:ascii="仿宋_GB2312" w:hAnsi="宋体" w:eastAsia="仿宋_GB2312"/>
                <w:b/>
                <w:color w:val="000000"/>
                <w:szCs w:val="21"/>
                <w:u w:val="single"/>
              </w:rPr>
            </w:pPr>
            <w:r>
              <w:rPr>
                <w:rFonts w:hint="eastAsia" w:ascii="仿宋_GB2312" w:hAnsi="宋体" w:eastAsia="仿宋_GB2312"/>
                <w:b/>
                <w:color w:val="000000"/>
                <w:szCs w:val="21"/>
                <w:u w:val="single"/>
              </w:rPr>
              <w:t>凡出现两个C即取消评比资格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4" w:hRule="atLeast"/>
        </w:trPr>
        <w:tc>
          <w:tcPr>
            <w:tcW w:w="945" w:type="dxa"/>
          </w:tcPr>
          <w:p>
            <w:pPr>
              <w:widowControl/>
              <w:jc w:val="left"/>
              <w:rPr>
                <w:rFonts w:ascii="仿宋_GB2312" w:hAnsi="宋体" w:eastAsia="仿宋_GB2312"/>
                <w:b/>
                <w:color w:val="000000"/>
                <w:sz w:val="24"/>
                <w:szCs w:val="20"/>
              </w:rPr>
            </w:pPr>
          </w:p>
          <w:p>
            <w:pPr>
              <w:widowControl/>
              <w:jc w:val="left"/>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减分项</w:t>
            </w:r>
          </w:p>
        </w:tc>
        <w:tc>
          <w:tcPr>
            <w:tcW w:w="1048" w:type="dxa"/>
          </w:tcPr>
          <w:p>
            <w:pPr>
              <w:autoSpaceDN w:val="0"/>
              <w:snapToGrid w:val="0"/>
              <w:jc w:val="left"/>
              <w:textAlignment w:val="bottom"/>
              <w:rPr>
                <w:rFonts w:ascii="仿宋_GB2312" w:hAnsi="宋体" w:eastAsia="仿宋_GB2312"/>
                <w:color w:val="000000"/>
                <w:szCs w:val="21"/>
              </w:rPr>
            </w:pPr>
          </w:p>
          <w:p>
            <w:pPr>
              <w:autoSpaceDN w:val="0"/>
              <w:snapToGrid w:val="0"/>
              <w:jc w:val="left"/>
              <w:textAlignment w:val="bottom"/>
              <w:rPr>
                <w:rFonts w:ascii="仿宋_GB2312" w:hAnsi="宋体" w:eastAsia="仿宋_GB2312"/>
                <w:color w:val="000000"/>
                <w:szCs w:val="21"/>
              </w:rPr>
            </w:pPr>
          </w:p>
        </w:tc>
        <w:tc>
          <w:tcPr>
            <w:tcW w:w="1975" w:type="dxa"/>
          </w:tcPr>
          <w:p>
            <w:pPr>
              <w:widowControl/>
              <w:jc w:val="left"/>
              <w:rPr>
                <w:rFonts w:ascii="仿宋_GB2312" w:hAnsi="宋体" w:eastAsia="仿宋_GB2312"/>
                <w:color w:val="000000"/>
                <w:szCs w:val="21"/>
              </w:rPr>
            </w:pPr>
          </w:p>
          <w:p>
            <w:pPr>
              <w:jc w:val="center"/>
              <w:rPr>
                <w:rFonts w:ascii="仿宋_GB2312" w:hAnsi="宋体" w:eastAsia="仿宋_GB2312"/>
                <w:szCs w:val="21"/>
              </w:rPr>
            </w:pPr>
            <w:r>
              <w:rPr>
                <w:rFonts w:hint="eastAsia" w:ascii="仿宋_GB2312" w:hAnsi="宋体" w:eastAsia="仿宋_GB2312"/>
                <w:color w:val="000000"/>
                <w:szCs w:val="21"/>
              </w:rPr>
              <w:t>补考、旷课</w:t>
            </w:r>
          </w:p>
        </w:tc>
        <w:tc>
          <w:tcPr>
            <w:tcW w:w="1975" w:type="dxa"/>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补考一次减5分；</w:t>
            </w:r>
          </w:p>
          <w:p>
            <w:pPr>
              <w:widowControl/>
              <w:jc w:val="center"/>
              <w:rPr>
                <w:rFonts w:ascii="仿宋_GB2312" w:hAnsi="宋体" w:eastAsia="仿宋_GB2312"/>
                <w:color w:val="000000"/>
                <w:szCs w:val="21"/>
              </w:rPr>
            </w:pPr>
            <w:r>
              <w:rPr>
                <w:rFonts w:hint="eastAsia" w:ascii="仿宋_GB2312" w:hAnsi="宋体" w:eastAsia="仿宋_GB2312"/>
                <w:color w:val="000000"/>
                <w:szCs w:val="21"/>
              </w:rPr>
              <w:t>旷课一次减3分。</w:t>
            </w:r>
          </w:p>
        </w:tc>
        <w:tc>
          <w:tcPr>
            <w:tcW w:w="3839" w:type="dxa"/>
            <w:vAlign w:val="center"/>
          </w:tcPr>
          <w:p>
            <w:pPr>
              <w:autoSpaceDN w:val="0"/>
              <w:snapToGrid w:val="0"/>
              <w:jc w:val="left"/>
              <w:textAlignment w:val="bottom"/>
              <w:rPr>
                <w:rFonts w:hint="eastAsia" w:ascii="仿宋_GB2312" w:hAnsi="宋体" w:eastAsia="仿宋_GB2312"/>
                <w:color w:val="000000"/>
                <w:szCs w:val="21"/>
                <w:lang w:eastAsia="zh-CN"/>
              </w:rPr>
            </w:pPr>
            <w:r>
              <w:rPr>
                <w:rFonts w:hint="eastAsia" w:ascii="仿宋_GB2312" w:hAnsi="宋体" w:eastAsia="仿宋_GB2312"/>
                <w:color w:val="000000"/>
                <w:szCs w:val="21"/>
              </w:rPr>
              <w:t>必修课成绩不合格或一年内旷课</w:t>
            </w:r>
            <w:r>
              <w:rPr>
                <w:rFonts w:hint="eastAsia" w:ascii="仿宋_GB2312" w:hAnsi="宋体" w:eastAsia="仿宋_GB2312"/>
                <w:color w:val="000000"/>
                <w:szCs w:val="21"/>
                <w:lang w:val="en-US" w:eastAsia="zh-CN"/>
              </w:rPr>
              <w:t>10学时</w:t>
            </w:r>
            <w:r>
              <w:rPr>
                <w:rFonts w:hint="eastAsia" w:ascii="仿宋_GB2312" w:hAnsi="宋体" w:eastAsia="仿宋_GB2312"/>
                <w:color w:val="000000"/>
                <w:szCs w:val="21"/>
              </w:rPr>
              <w:t>及以上，“学业水平”评定为</w:t>
            </w:r>
            <w:r>
              <w:rPr>
                <w:rFonts w:hint="eastAsia" w:ascii="仿宋_GB2312" w:hAnsi="宋体" w:eastAsia="仿宋_GB2312"/>
                <w:color w:val="FF0000"/>
                <w:szCs w:val="21"/>
              </w:rPr>
              <w:t>不合格</w:t>
            </w:r>
            <w:r>
              <w:rPr>
                <w:rFonts w:hint="eastAsia" w:ascii="仿宋_GB2312" w:hAnsi="宋体" w:eastAsia="仿宋_GB2312"/>
                <w:color w:val="FF0000"/>
                <w:szCs w:val="21"/>
                <w:lang w:eastAsia="zh-CN"/>
              </w:rPr>
              <w:t>，奖学金一票否决</w:t>
            </w:r>
          </w:p>
        </w:tc>
      </w:tr>
    </w:tbl>
    <w:p/>
    <w:p/>
    <w:p>
      <w:pPr>
        <w:pStyle w:val="10"/>
        <w:numPr>
          <w:ilvl w:val="0"/>
          <w:numId w:val="1"/>
        </w:numPr>
        <w:autoSpaceDN w:val="0"/>
        <w:spacing w:line="360" w:lineRule="auto"/>
        <w:ind w:firstLineChars="0"/>
        <w:jc w:val="left"/>
        <w:textAlignment w:val="bottom"/>
        <w:rPr>
          <w:rFonts w:ascii="宋体" w:hAnsi="宋体"/>
          <w:b/>
          <w:color w:val="000000"/>
          <w:sz w:val="24"/>
        </w:rPr>
      </w:pPr>
      <w:r>
        <w:rPr>
          <w:rFonts w:hint="eastAsia" w:ascii="宋体" w:hAnsi="宋体"/>
          <w:b/>
          <w:color w:val="000000"/>
          <w:sz w:val="24"/>
        </w:rPr>
        <w:t xml:space="preserve">科研与创新创业 </w:t>
      </w:r>
    </w:p>
    <w:p>
      <w:pPr>
        <w:autoSpaceDN w:val="0"/>
        <w:spacing w:line="360" w:lineRule="auto"/>
        <w:ind w:firstLine="480" w:firstLineChars="200"/>
        <w:jc w:val="left"/>
        <w:textAlignment w:val="bottom"/>
        <w:rPr>
          <w:rFonts w:ascii="宋体" w:hAnsi="宋体"/>
          <w:color w:val="000000"/>
          <w:sz w:val="24"/>
        </w:rPr>
      </w:pPr>
      <w:r>
        <w:rPr>
          <w:rFonts w:hint="eastAsia" w:ascii="宋体" w:hAnsi="宋体"/>
          <w:color w:val="000000"/>
          <w:sz w:val="24"/>
        </w:rPr>
        <w:t>科研与</w:t>
      </w:r>
      <w:r>
        <w:rPr>
          <w:rFonts w:ascii="宋体" w:hAnsi="宋体"/>
          <w:color w:val="000000"/>
          <w:sz w:val="24"/>
        </w:rPr>
        <w:t>创新创业是对研究生发表论文、专著，获得科研课题，取得学科竞赛奖项，成功创业等方面的综合评价</w:t>
      </w:r>
      <w:r>
        <w:rPr>
          <w:rFonts w:hint="eastAsia" w:ascii="宋体" w:hAnsi="宋体"/>
          <w:color w:val="000000"/>
          <w:sz w:val="24"/>
        </w:rPr>
        <w:t>，</w:t>
      </w:r>
      <w:r>
        <w:rPr>
          <w:rFonts w:hint="eastAsia" w:ascii="宋体" w:hAnsi="宋体"/>
          <w:color w:val="FF0000"/>
          <w:sz w:val="24"/>
        </w:rPr>
        <w:t>基础分60分</w:t>
      </w:r>
      <w:r>
        <w:rPr>
          <w:rFonts w:ascii="宋体" w:hAnsi="宋体"/>
          <w:color w:val="000000"/>
          <w:sz w:val="24"/>
        </w:rPr>
        <w:t>。</w:t>
      </w:r>
    </w:p>
    <w:tbl>
      <w:tblPr>
        <w:tblStyle w:val="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41"/>
        <w:gridCol w:w="142"/>
        <w:gridCol w:w="1417"/>
        <w:gridCol w:w="1276"/>
        <w:gridCol w:w="142"/>
        <w:gridCol w:w="284"/>
        <w:gridCol w:w="1984"/>
        <w:gridCol w:w="142"/>
        <w:gridCol w:w="142"/>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类别</w:t>
            </w: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科研成果</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分值</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restart"/>
            <w:tcBorders>
              <w:top w:val="single" w:color="auto" w:sz="4" w:space="0"/>
              <w:left w:val="single" w:color="auto" w:sz="4" w:space="0"/>
              <w:right w:val="single" w:color="auto" w:sz="4" w:space="0"/>
            </w:tcBorders>
            <w:vAlign w:val="center"/>
          </w:tcPr>
          <w:p>
            <w:pPr>
              <w:widowControl/>
              <w:jc w:val="left"/>
              <w:rPr>
                <w:rFonts w:ascii="仿宋_GB2312" w:hAnsi="宋体" w:eastAsia="仿宋_GB2312"/>
                <w:b/>
                <w:color w:val="000000"/>
                <w:szCs w:val="21"/>
              </w:rPr>
            </w:pPr>
            <w:r>
              <w:rPr>
                <w:rFonts w:hint="eastAsia" w:ascii="仿宋_GB2312" w:hAnsi="宋体" w:eastAsia="仿宋_GB2312"/>
                <w:b/>
                <w:color w:val="000000"/>
                <w:szCs w:val="21"/>
              </w:rPr>
              <w:t>论文类、参著类、参编类</w:t>
            </w: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权威期刊</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50</w:t>
            </w:r>
          </w:p>
        </w:tc>
        <w:tc>
          <w:tcPr>
            <w:tcW w:w="2126" w:type="dxa"/>
            <w:gridSpan w:val="2"/>
            <w:vMerge w:val="restart"/>
            <w:tcBorders>
              <w:top w:val="single" w:color="auto" w:sz="4" w:space="0"/>
              <w:left w:val="single" w:color="auto" w:sz="4" w:space="0"/>
              <w:right w:val="single" w:color="auto" w:sz="4" w:space="0"/>
            </w:tcBorders>
            <w:vAlign w:val="center"/>
          </w:tcPr>
          <w:p>
            <w:pPr>
              <w:autoSpaceDN w:val="0"/>
              <w:snapToGrid w:val="0"/>
              <w:jc w:val="both"/>
              <w:textAlignment w:val="bottom"/>
              <w:rPr>
                <w:rFonts w:ascii="仿宋_GB2312" w:hAnsi="宋体" w:eastAsia="仿宋_GB2312"/>
                <w:color w:val="000000"/>
                <w:szCs w:val="21"/>
              </w:rPr>
            </w:pPr>
            <w:r>
              <w:rPr>
                <w:rFonts w:hint="eastAsia" w:ascii="仿宋_GB2312" w:hAnsi="宋体" w:eastAsia="仿宋_GB2312"/>
                <w:color w:val="000000"/>
                <w:szCs w:val="21"/>
              </w:rPr>
              <w:t>期刊名录参照</w:t>
            </w:r>
            <w:r>
              <w:rPr>
                <w:rFonts w:hint="eastAsia" w:ascii="仿宋_GB2312" w:hAnsi="宋体" w:eastAsia="仿宋_GB2312"/>
                <w:color w:val="FF0000"/>
                <w:szCs w:val="21"/>
              </w:rPr>
              <w:t>《杭州师范大学人文社会科学类学术期刊定级标准（2015年版）》</w:t>
            </w:r>
            <w:r>
              <w:rPr>
                <w:rFonts w:hint="eastAsia" w:ascii="仿宋_GB2312" w:hAnsi="宋体" w:eastAsia="仿宋_GB2312"/>
                <w:color w:val="000000"/>
                <w:szCs w:val="21"/>
              </w:rPr>
              <w:t>，增刊减半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一级期刊</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20</w:t>
            </w:r>
          </w:p>
        </w:tc>
        <w:tc>
          <w:tcPr>
            <w:tcW w:w="2126" w:type="dxa"/>
            <w:gridSpan w:val="2"/>
            <w:vMerge w:val="continue"/>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二级期刊</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10</w:t>
            </w:r>
          </w:p>
        </w:tc>
        <w:tc>
          <w:tcPr>
            <w:tcW w:w="2126" w:type="dxa"/>
            <w:gridSpan w:val="2"/>
            <w:vMerge w:val="continue"/>
            <w:tcBorders>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杭州师范大学学报[社科版]</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15</w:t>
            </w:r>
          </w:p>
        </w:tc>
        <w:tc>
          <w:tcPr>
            <w:tcW w:w="2126" w:type="dxa"/>
            <w:gridSpan w:val="2"/>
            <w:vMerge w:val="restart"/>
            <w:tcBorders>
              <w:top w:val="single" w:color="auto" w:sz="4" w:space="0"/>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增刊减半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其他普通期刊</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3</w:t>
            </w:r>
          </w:p>
        </w:tc>
        <w:tc>
          <w:tcPr>
            <w:tcW w:w="2126" w:type="dxa"/>
            <w:gridSpan w:val="2"/>
            <w:vMerge w:val="continue"/>
            <w:tcBorders>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人大复印资料全文转载</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20</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高等学校文科全文转载</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15</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各类论文集入选</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1．定期召开（届）的全国及国际学术研讨会入选，10-30；</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2．省级及其他一般性冠以“全国”及“国际”的学术研讨会入选，5-10；</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3．其他一般论文集，2。</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定期召开（届）的全国及国际学术研讨会，指省部级（含）以上政府部门或国家级协会（一级学会）及国际知名学术机构等主办的有行业（学术）影响的会议。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highlight w:val="yellow"/>
              </w:rPr>
            </w:pPr>
            <w:r>
              <w:rPr>
                <w:rFonts w:hint="eastAsia" w:ascii="仿宋_GB2312" w:hAnsi="宋体" w:eastAsia="仿宋_GB2312"/>
                <w:color w:val="000000"/>
                <w:szCs w:val="21"/>
              </w:rPr>
              <w:t>参与著作撰稿</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5/万字</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正式出版，且书中体现作者姓名。国家重点图书出版规划项目，1.5倍计算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976"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highlight w:val="yellow"/>
              </w:rPr>
            </w:pPr>
            <w:r>
              <w:rPr>
                <w:rFonts w:hint="eastAsia" w:ascii="仿宋_GB2312" w:hAnsi="宋体" w:eastAsia="仿宋_GB2312"/>
                <w:color w:val="000000"/>
                <w:szCs w:val="21"/>
              </w:rPr>
              <w:t>参与教材、编著编写</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3/万字</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正式出版，且书中体现作者姓名。省部级以上规划教材，加倍计算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gridSpan w:val="11"/>
            <w:tcBorders>
              <w:top w:val="single" w:color="auto" w:sz="4" w:space="0"/>
              <w:left w:val="single" w:color="auto" w:sz="4" w:space="0"/>
              <w:bottom w:val="single" w:color="auto" w:sz="4" w:space="0"/>
              <w:right w:val="single" w:color="auto" w:sz="4" w:space="0"/>
            </w:tcBorders>
            <w:vAlign w:val="center"/>
          </w:tcPr>
          <w:p>
            <w:pPr>
              <w:autoSpaceDN w:val="0"/>
              <w:spacing w:line="360" w:lineRule="auto"/>
              <w:textAlignment w:val="bottom"/>
              <w:rPr>
                <w:rFonts w:ascii="仿宋_GB2312" w:hAnsi="宋体" w:eastAsia="仿宋_GB2312"/>
                <w:color w:val="000000"/>
                <w:szCs w:val="21"/>
              </w:rPr>
            </w:pPr>
            <w:r>
              <w:rPr>
                <w:rFonts w:hint="eastAsia" w:ascii="仿宋_GB2312" w:hAnsi="宋体" w:eastAsia="仿宋_GB2312"/>
                <w:color w:val="000000"/>
                <w:szCs w:val="21"/>
              </w:rPr>
              <w:t>说明：</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【1】两位作者合作发表论文，第一作者×0.6，第二作者×0.4。</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【2】三位及以上作者合作发表论文，第一作者×0.5，第二作者×0.3，第三作者×0.2，第四作者以下均只得×0.1。</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【3】若导师为论文合作者，第一作者为学生，则加全分；第一作者为导师，则第二作者×0.4，第三作者×0.3，第四及以后作者×0.2。</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【4】录用通知在评选各类奖学金时只作参考不折算分数，评选优秀毕业生时减半计算。</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【5】作者第一署名单位须为杭州师范大学。</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【6】论文字数＜3000字，或论文版面在一个版面以内的，分数×1/3。</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【7】参撰、参编只计算学生本人完成工作量，以出版物标注或出版社证明为准。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类别</w:t>
            </w: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科研成果</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分值</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84" w:type="dxa"/>
            <w:gridSpan w:val="3"/>
            <w:vMerge w:val="restart"/>
            <w:tcBorders>
              <w:top w:val="single" w:color="auto" w:sz="4" w:space="0"/>
              <w:left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展览、艺术类比赛</w:t>
            </w: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国家级展览、评奖</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特等30；一等20；二等15；三等10；入展、入选8</w:t>
            </w:r>
          </w:p>
        </w:tc>
        <w:tc>
          <w:tcPr>
            <w:tcW w:w="1984" w:type="dxa"/>
            <w:vMerge w:val="restart"/>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1.各级别名录参照</w:t>
            </w:r>
            <w:r>
              <w:rPr>
                <w:rFonts w:hint="eastAsia" w:ascii="仿宋_GB2312" w:hAnsi="宋体" w:eastAsia="仿宋_GB2312"/>
                <w:color w:val="FF0000"/>
                <w:szCs w:val="21"/>
              </w:rPr>
              <w:t>《杭州师范艺术类成果指导意见（试行）》</w:t>
            </w:r>
            <w:r>
              <w:rPr>
                <w:rFonts w:hint="eastAsia" w:ascii="仿宋_GB2312" w:hAnsi="宋体" w:eastAsia="仿宋_GB2312"/>
                <w:color w:val="000000"/>
                <w:szCs w:val="21"/>
              </w:rPr>
              <w:t>；</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2．无等级的奖项按该级别的二等奖核算；</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3.特等奖不是唯一奖项的，按该级别的一等奖核算；</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4.同一作品多次获奖，就最高分值计算。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1384" w:type="dxa"/>
            <w:gridSpan w:val="3"/>
            <w:vMerge w:val="continue"/>
            <w:tcBorders>
              <w:left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省部级展览、评奖</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特等15；一等12；二等8；三等5；入展、入选3</w:t>
            </w:r>
          </w:p>
        </w:tc>
        <w:tc>
          <w:tcPr>
            <w:tcW w:w="1984" w:type="dxa"/>
            <w:vMerge w:val="continue"/>
            <w:tcBorders>
              <w:left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trPr>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市厅级展览、评奖</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特等8；一等5；二等3；三等2；入展、入选1</w:t>
            </w: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trPr>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校级（学院新篁杯）展览、评奖</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特等4；一等3；二等2；三等1；优秀奖或入展、入选0.5</w:t>
            </w: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6" w:hRule="atLeast"/>
        </w:trPr>
        <w:tc>
          <w:tcPr>
            <w:tcW w:w="1384" w:type="dxa"/>
            <w:gridSpan w:val="3"/>
            <w:vMerge w:val="continue"/>
            <w:tcBorders>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2835" w:type="dxa"/>
            <w:gridSpan w:val="3"/>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其他各单位部门、各级各类组织展览、评奖</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获奖1；入展、入选0.5；</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szCs w:val="21"/>
              </w:rPr>
            </w:pPr>
            <w:r>
              <w:rPr>
                <w:rFonts w:hint="eastAsia" w:ascii="仿宋_GB2312" w:hAnsi="宋体" w:eastAsia="仿宋_GB2312"/>
                <w:color w:val="000000"/>
                <w:szCs w:val="21"/>
              </w:rPr>
              <w:t>累计加分不超过4分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restart"/>
            <w:tcBorders>
              <w:top w:val="single" w:color="auto" w:sz="4" w:space="0"/>
              <w:left w:val="single" w:color="auto" w:sz="4" w:space="0"/>
              <w:right w:val="single" w:color="auto" w:sz="4" w:space="0"/>
            </w:tcBorders>
            <w:vAlign w:val="center"/>
          </w:tcPr>
          <w:p>
            <w:pPr>
              <w:widowControl/>
              <w:jc w:val="left"/>
              <w:rPr>
                <w:rFonts w:ascii="仿宋_GB2312" w:hAnsi="宋体" w:eastAsia="仿宋_GB2312"/>
                <w:b/>
                <w:color w:val="000000"/>
                <w:szCs w:val="21"/>
              </w:rPr>
            </w:pPr>
            <w:r>
              <w:rPr>
                <w:rFonts w:hint="eastAsia" w:ascii="仿宋_GB2312" w:hAnsi="宋体" w:eastAsia="仿宋_GB2312"/>
                <w:b/>
                <w:color w:val="000000"/>
                <w:szCs w:val="21"/>
              </w:rPr>
              <w:t>学科竞赛类</w:t>
            </w:r>
          </w:p>
        </w:tc>
        <w:tc>
          <w:tcPr>
            <w:tcW w:w="1417" w:type="dxa"/>
            <w:vMerge w:val="restart"/>
            <w:tcBorders>
              <w:top w:val="single" w:color="auto" w:sz="4" w:space="0"/>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一类竞赛</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国家级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特等30；一等20；二等15；三等10；优秀（鼓励）奖8</w:t>
            </w:r>
          </w:p>
        </w:tc>
        <w:tc>
          <w:tcPr>
            <w:tcW w:w="1984" w:type="dxa"/>
            <w:vMerge w:val="restart"/>
            <w:tcBorders>
              <w:top w:val="single" w:color="auto" w:sz="4" w:space="0"/>
              <w:left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1.各类竞赛名录参照</w:t>
            </w:r>
            <w:r>
              <w:rPr>
                <w:rFonts w:hint="eastAsia" w:ascii="仿宋_GB2312" w:hAnsi="宋体" w:eastAsia="仿宋_GB2312"/>
                <w:color w:val="FF0000"/>
                <w:szCs w:val="21"/>
              </w:rPr>
              <w:t>《2016年度杭州师范大学学科竞赛项目一览表》</w:t>
            </w:r>
            <w:r>
              <w:rPr>
                <w:rFonts w:hint="eastAsia" w:ascii="仿宋_GB2312" w:hAnsi="宋体" w:eastAsia="仿宋_GB2312"/>
                <w:color w:val="000000"/>
                <w:szCs w:val="21"/>
              </w:rPr>
              <w:t>；</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2.特等奖不是唯一奖项的，按该级别的一等奖核算；</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3.同一作品参赛获奖的，就最高分值计算；</w:t>
            </w:r>
          </w:p>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4.非官方的国家级比赛，未经省赛选拔而获奖的，按省级获奖加分。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continue"/>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省级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特等15；一等12；二等8；三等5；优秀（鼓励）奖3</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continue"/>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校级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特等4；一等3；二等2；三等1；优秀（鼓励）奖0.5</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restart"/>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二类竞赛</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国家级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特等15；一等12；二等8；三等5；优秀（鼓励）奖3</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continue"/>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省级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特等8；一等5；二等3；三等2；优秀（鼓励）奖1</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restart"/>
            <w:tcBorders>
              <w:top w:val="single" w:color="auto" w:sz="4" w:space="0"/>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三类竞赛</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国家级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特等8；一等5；二等3；三等2；优秀（鼓励）奖1</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84"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1417" w:type="dxa"/>
            <w:vMerge w:val="continue"/>
            <w:tcBorders>
              <w:left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p>
        </w:tc>
        <w:tc>
          <w:tcPr>
            <w:tcW w:w="1418" w:type="dxa"/>
            <w:gridSpan w:val="2"/>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省级</w:t>
            </w:r>
          </w:p>
        </w:tc>
        <w:tc>
          <w:tcPr>
            <w:tcW w:w="2552" w:type="dxa"/>
            <w:gridSpan w:val="4"/>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特等4；一等3；二等2；三等1；优秀（鼓励）奖0.5</w:t>
            </w:r>
          </w:p>
        </w:tc>
        <w:tc>
          <w:tcPr>
            <w:tcW w:w="1984"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755" w:type="dxa"/>
            <w:gridSpan w:val="11"/>
            <w:tcBorders>
              <w:top w:val="single" w:color="auto" w:sz="4" w:space="0"/>
              <w:left w:val="single" w:color="auto" w:sz="4" w:space="0"/>
              <w:bottom w:val="single" w:color="auto" w:sz="4" w:space="0"/>
              <w:right w:val="single" w:color="auto" w:sz="4" w:space="0"/>
            </w:tcBorders>
            <w:vAlign w:val="center"/>
          </w:tcPr>
          <w:p>
            <w:pPr>
              <w:autoSpaceDN w:val="0"/>
              <w:spacing w:line="360" w:lineRule="auto"/>
              <w:textAlignment w:val="bottom"/>
              <w:rPr>
                <w:rFonts w:ascii="仿宋_GB2312" w:hAnsi="宋体" w:eastAsia="仿宋_GB2312"/>
                <w:color w:val="000000"/>
                <w:szCs w:val="21"/>
              </w:rPr>
            </w:pPr>
            <w:r>
              <w:rPr>
                <w:rFonts w:hint="eastAsia" w:ascii="仿宋_GB2312" w:hAnsi="宋体" w:eastAsia="仿宋_GB2312"/>
                <w:color w:val="000000"/>
                <w:szCs w:val="21"/>
              </w:rPr>
              <w:t>说明：</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【1】非本研究方向的相关成果，按原档次分数的60%折算计入；非本一级学科内的相关成果，按原档次分数的30%折算计入；若为教育系统（教育部、各高等院校）举办的竞赛，则100%计算分数。</w:t>
            </w:r>
          </w:p>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【2】合作获奖成果，得分按位次核算权重加分，按排名顺序依次为50%、40%、30%、20%、10%、5%。排名以获奖证书署名或有效文件公布排名为准。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gridSpan w:val="2"/>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类别</w:t>
            </w: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科研成果</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分值</w:t>
            </w:r>
          </w:p>
        </w:tc>
        <w:tc>
          <w:tcPr>
            <w:tcW w:w="2268" w:type="dxa"/>
            <w:gridSpan w:val="3"/>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restart"/>
            <w:tcBorders>
              <w:top w:val="single" w:color="auto" w:sz="4" w:space="0"/>
              <w:left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b/>
                <w:color w:val="000000"/>
                <w:szCs w:val="21"/>
              </w:rPr>
            </w:pPr>
            <w:r>
              <w:rPr>
                <w:rFonts w:hint="eastAsia" w:ascii="仿宋_GB2312" w:hAnsi="宋体" w:eastAsia="仿宋_GB2312"/>
                <w:b/>
                <w:color w:val="000000"/>
                <w:szCs w:val="21"/>
              </w:rPr>
              <w:t>课题、项目类</w:t>
            </w: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国家级课题</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100</w:t>
            </w:r>
          </w:p>
        </w:tc>
        <w:tc>
          <w:tcPr>
            <w:tcW w:w="2268" w:type="dxa"/>
            <w:gridSpan w:val="3"/>
            <w:vMerge w:val="restart"/>
            <w:tcBorders>
              <w:top w:val="single" w:color="auto" w:sz="4" w:space="0"/>
              <w:left w:val="single" w:color="auto" w:sz="4" w:space="0"/>
              <w:right w:val="single" w:color="auto" w:sz="4" w:space="0"/>
            </w:tcBorders>
            <w:vAlign w:val="center"/>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1.课题主持人按对应分值核算，参与成员按位次核算权重加分，依次为25%、20%、15%、10%、5%、2.5%；</w:t>
            </w:r>
          </w:p>
          <w:p>
            <w:pPr>
              <w:autoSpaceDN w:val="0"/>
              <w:snapToGrid w:val="0"/>
              <w:textAlignment w:val="bottom"/>
              <w:rPr>
                <w:rFonts w:ascii="仿宋_GB2312" w:hAnsi="宋体" w:eastAsia="仿宋_GB2312"/>
                <w:b/>
                <w:color w:val="000000"/>
                <w:szCs w:val="21"/>
              </w:rPr>
            </w:pPr>
            <w:r>
              <w:rPr>
                <w:rFonts w:hint="eastAsia" w:ascii="仿宋_GB2312" w:hAnsi="宋体" w:eastAsia="仿宋_GB2312"/>
                <w:color w:val="000000"/>
                <w:szCs w:val="21"/>
              </w:rPr>
              <w:t>22.课题组排名，以加盖公章的申报书（立项书）或结题证书署名（排名）为准。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省部级课题</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50</w:t>
            </w:r>
          </w:p>
        </w:tc>
        <w:tc>
          <w:tcPr>
            <w:tcW w:w="2268"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市厅级课题</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20</w:t>
            </w:r>
          </w:p>
        </w:tc>
        <w:tc>
          <w:tcPr>
            <w:tcW w:w="2268"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校级课题</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10</w:t>
            </w:r>
          </w:p>
        </w:tc>
        <w:tc>
          <w:tcPr>
            <w:tcW w:w="2268"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省新苗人才计划</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5</w:t>
            </w:r>
          </w:p>
        </w:tc>
        <w:tc>
          <w:tcPr>
            <w:tcW w:w="2268" w:type="dxa"/>
            <w:gridSpan w:val="3"/>
            <w:vMerge w:val="continue"/>
            <w:tcBorders>
              <w:left w:val="single" w:color="auto" w:sz="4" w:space="0"/>
              <w:right w:val="single" w:color="auto" w:sz="4" w:space="0"/>
            </w:tcBorders>
            <w:vAlign w:val="center"/>
          </w:tcPr>
          <w:p>
            <w:pPr>
              <w:widowControl/>
              <w:jc w:val="left"/>
              <w:rPr>
                <w:rFonts w:ascii="仿宋_GB2312" w:hAnsi="宋体" w:eastAsia="仿宋_GB2312"/>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0" w:hRule="atLeast"/>
        </w:trPr>
        <w:tc>
          <w:tcPr>
            <w:tcW w:w="1242" w:type="dxa"/>
            <w:gridSpan w:val="2"/>
            <w:vMerge w:val="continue"/>
            <w:tcBorders>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c>
          <w:tcPr>
            <w:tcW w:w="3261" w:type="dxa"/>
            <w:gridSpan w:val="5"/>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校级创新创业及其他立项</w:t>
            </w:r>
          </w:p>
        </w:tc>
        <w:tc>
          <w:tcPr>
            <w:tcW w:w="1984"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olor w:val="000000"/>
                <w:szCs w:val="21"/>
              </w:rPr>
            </w:pPr>
            <w:r>
              <w:rPr>
                <w:rFonts w:hint="eastAsia" w:ascii="仿宋_GB2312" w:hAnsi="宋体" w:eastAsia="仿宋_GB2312"/>
                <w:color w:val="000000"/>
                <w:szCs w:val="21"/>
              </w:rPr>
              <w:t>3</w:t>
            </w:r>
          </w:p>
        </w:tc>
        <w:tc>
          <w:tcPr>
            <w:tcW w:w="2268" w:type="dxa"/>
            <w:gridSpan w:val="3"/>
            <w:vMerge w:val="continue"/>
            <w:tcBorders>
              <w:left w:val="single" w:color="auto" w:sz="4" w:space="0"/>
              <w:bottom w:val="single" w:color="auto" w:sz="4" w:space="0"/>
              <w:right w:val="single" w:color="auto" w:sz="4" w:space="0"/>
            </w:tcBorders>
            <w:vAlign w:val="center"/>
          </w:tcPr>
          <w:p>
            <w:pPr>
              <w:widowControl/>
              <w:jc w:val="left"/>
              <w:rPr>
                <w:rFonts w:ascii="仿宋_GB2312" w:hAnsi="宋体" w:eastAsia="仿宋_GB2312"/>
                <w:b/>
                <w:color w:val="000000"/>
                <w:szCs w:val="21"/>
              </w:rPr>
            </w:pPr>
          </w:p>
        </w:tc>
      </w:tr>
    </w:tbl>
    <w:p>
      <w:pPr>
        <w:pStyle w:val="10"/>
        <w:autoSpaceDN w:val="0"/>
        <w:spacing w:line="360" w:lineRule="auto"/>
        <w:ind w:left="360" w:firstLine="0" w:firstLineChars="0"/>
        <w:jc w:val="left"/>
        <w:textAlignment w:val="bottom"/>
        <w:rPr>
          <w:rFonts w:ascii="宋体" w:hAnsi="宋体"/>
          <w:b/>
          <w:color w:val="000000"/>
          <w:sz w:val="24"/>
        </w:rPr>
      </w:pPr>
    </w:p>
    <w:p>
      <w:pPr>
        <w:pStyle w:val="10"/>
        <w:numPr>
          <w:ilvl w:val="0"/>
          <w:numId w:val="1"/>
        </w:numPr>
        <w:autoSpaceDN w:val="0"/>
        <w:spacing w:line="360" w:lineRule="auto"/>
        <w:ind w:firstLineChars="0"/>
        <w:jc w:val="left"/>
        <w:textAlignment w:val="bottom"/>
        <w:rPr>
          <w:rFonts w:ascii="宋体" w:hAnsi="宋体"/>
          <w:b/>
          <w:color w:val="000000"/>
          <w:sz w:val="24"/>
        </w:rPr>
      </w:pPr>
      <w:r>
        <w:rPr>
          <w:rFonts w:hint="eastAsia" w:ascii="宋体" w:hAnsi="宋体"/>
          <w:b/>
          <w:color w:val="000000"/>
          <w:sz w:val="24"/>
        </w:rPr>
        <w:t>实践活动</w:t>
      </w:r>
    </w:p>
    <w:p>
      <w:pPr>
        <w:autoSpaceDN w:val="0"/>
        <w:spacing w:line="360" w:lineRule="auto"/>
        <w:ind w:firstLine="480" w:firstLineChars="200"/>
        <w:jc w:val="left"/>
        <w:textAlignment w:val="bottom"/>
        <w:rPr>
          <w:rFonts w:ascii="宋体" w:hAnsi="宋体"/>
          <w:color w:val="000000"/>
          <w:sz w:val="24"/>
        </w:rPr>
      </w:pPr>
      <w:r>
        <w:rPr>
          <w:rFonts w:ascii="宋体" w:hAnsi="宋体"/>
          <w:color w:val="000000"/>
          <w:sz w:val="24"/>
        </w:rPr>
        <w:t>实践活动是对研究生学术实践、教学实践、社会 实践等方面表现的综合评价</w:t>
      </w:r>
      <w:r>
        <w:rPr>
          <w:rFonts w:hint="eastAsia" w:ascii="宋体" w:hAnsi="宋体"/>
          <w:color w:val="000000"/>
          <w:sz w:val="24"/>
        </w:rPr>
        <w:t>，</w:t>
      </w:r>
      <w:r>
        <w:rPr>
          <w:rFonts w:hint="eastAsia" w:ascii="宋体" w:hAnsi="宋体"/>
          <w:color w:val="FF0000"/>
          <w:sz w:val="24"/>
        </w:rPr>
        <w:t>基础分60分</w:t>
      </w:r>
      <w:r>
        <w:rPr>
          <w:rFonts w:hint="eastAsia" w:ascii="宋体" w:hAnsi="宋体"/>
          <w:color w:val="000000"/>
          <w:sz w:val="24"/>
        </w:rPr>
        <w:t>。</w:t>
      </w:r>
    </w:p>
    <w:tbl>
      <w:tblPr>
        <w:tblStyle w:val="7"/>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976"/>
        <w:gridCol w:w="2552"/>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类别</w:t>
            </w: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分值</w:t>
            </w:r>
          </w:p>
        </w:tc>
        <w:tc>
          <w:tcPr>
            <w:tcW w:w="2126" w:type="dxa"/>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vMerge w:val="restart"/>
            <w:tcBorders>
              <w:top w:val="single" w:color="auto" w:sz="4" w:space="0"/>
              <w:left w:val="single" w:color="auto" w:sz="4" w:space="0"/>
              <w:bottom w:val="single" w:color="auto" w:sz="4" w:space="0"/>
              <w:right w:val="single" w:color="auto" w:sz="4" w:space="0"/>
            </w:tcBorders>
            <w:vAlign w:val="center"/>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学术实践</w:t>
            </w:r>
          </w:p>
        </w:tc>
        <w:tc>
          <w:tcPr>
            <w:tcW w:w="2976" w:type="dxa"/>
            <w:tcBorders>
              <w:top w:val="single" w:color="auto" w:sz="4" w:space="0"/>
              <w:left w:val="single" w:color="auto" w:sz="4" w:space="0"/>
              <w:bottom w:val="single" w:color="auto" w:sz="4" w:space="0"/>
              <w:right w:val="single" w:color="auto" w:sz="4" w:space="0"/>
            </w:tcBorders>
            <w:vAlign w:val="center"/>
          </w:tcPr>
          <w:p>
            <w:pPr>
              <w:rPr>
                <w:rFonts w:ascii="仿宋_GB2312" w:hAnsi="宋体" w:eastAsia="仿宋_GB2312" w:cs="Times New Roman"/>
                <w:color w:val="000000"/>
                <w:szCs w:val="21"/>
              </w:rPr>
            </w:pPr>
            <w:r>
              <w:rPr>
                <w:rFonts w:hint="eastAsia" w:ascii="仿宋_GB2312" w:hAnsi="宋体" w:eastAsia="仿宋_GB2312"/>
                <w:color w:val="000000"/>
                <w:szCs w:val="21"/>
              </w:rPr>
              <w:t>参加校内学术报告及讲座。</w:t>
            </w:r>
          </w:p>
        </w:tc>
        <w:tc>
          <w:tcPr>
            <w:tcW w:w="2552"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Times New Roman"/>
                <w:color w:val="000000"/>
                <w:szCs w:val="21"/>
              </w:rPr>
            </w:pPr>
            <w:r>
              <w:rPr>
                <w:rFonts w:hint="eastAsia" w:ascii="仿宋_GB2312" w:hAnsi="宋体" w:eastAsia="仿宋_GB2312"/>
                <w:color w:val="000000"/>
                <w:szCs w:val="21"/>
              </w:rPr>
              <w:t>0.5分/次</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rPr>
            </w:pPr>
            <w:r>
              <w:rPr>
                <w:rFonts w:hint="eastAsia" w:ascii="仿宋_GB2312" w:hAnsi="宋体" w:eastAsia="仿宋_GB2312"/>
                <w:color w:val="000000"/>
                <w:szCs w:val="21"/>
              </w:rPr>
              <w:t>以学术积分卡记录为准。此类累计最高不超过10分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参加学术会议、论坛等</w:t>
            </w:r>
          </w:p>
        </w:tc>
        <w:tc>
          <w:tcPr>
            <w:tcW w:w="2552" w:type="dxa"/>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3分/次</w:t>
            </w:r>
          </w:p>
        </w:tc>
        <w:tc>
          <w:tcPr>
            <w:tcW w:w="2126" w:type="dxa"/>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需提供参会回执或邀请函等相关证明材料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9"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textAlignment w:val="bottom"/>
              <w:rPr>
                <w:rFonts w:ascii="仿宋_GB2312" w:hAnsi="宋体" w:eastAsia="仿宋_GB2312"/>
                <w:color w:val="000000"/>
                <w:szCs w:val="21"/>
              </w:rPr>
            </w:pPr>
            <w:r>
              <w:rPr>
                <w:rFonts w:hint="eastAsia" w:ascii="仿宋_GB2312" w:hAnsi="宋体" w:eastAsia="仿宋_GB2312"/>
                <w:color w:val="000000"/>
                <w:szCs w:val="21"/>
              </w:rPr>
              <w:t>在规范的学术会议或论坛上发表学术演讲。</w:t>
            </w:r>
          </w:p>
        </w:tc>
        <w:tc>
          <w:tcPr>
            <w:tcW w:w="2552" w:type="dxa"/>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olor w:val="000000"/>
                <w:szCs w:val="21"/>
              </w:rPr>
            </w:pPr>
            <w:r>
              <w:rPr>
                <w:rFonts w:hint="eastAsia" w:ascii="仿宋_GB2312" w:hAnsi="宋体" w:eastAsia="仿宋_GB2312"/>
                <w:color w:val="000000"/>
                <w:szCs w:val="21"/>
              </w:rPr>
              <w:t>10分/次</w:t>
            </w:r>
          </w:p>
        </w:tc>
        <w:tc>
          <w:tcPr>
            <w:tcW w:w="2126" w:type="dxa"/>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olor w:val="000000"/>
                <w:szCs w:val="21"/>
              </w:rPr>
            </w:pPr>
            <w:r>
              <w:rPr>
                <w:rFonts w:hint="eastAsia" w:ascii="仿宋_GB2312" w:hAnsi="宋体" w:eastAsia="仿宋_GB2312"/>
                <w:color w:val="000000"/>
                <w:szCs w:val="21"/>
              </w:rPr>
              <w:t>同一会议论坛、或同一篇论文演讲的只计一次</w:t>
            </w:r>
            <w:r>
              <w:rPr>
                <w:rFonts w:hint="eastAsia" w:ascii="仿宋_GB2312" w:hAnsi="宋体" w:eastAsia="仿宋_GB2312"/>
                <w:color w:val="000000"/>
                <w:szCs w:val="21"/>
                <w:lang w:eastAsia="zh-CN"/>
              </w:rPr>
              <w:t>，需提供证明材料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参加学校研究生“三助一辅”等工作</w:t>
            </w:r>
          </w:p>
        </w:tc>
        <w:tc>
          <w:tcPr>
            <w:tcW w:w="2552" w:type="dxa"/>
            <w:tcBorders>
              <w:top w:val="single" w:color="auto" w:sz="4" w:space="0"/>
              <w:left w:val="single" w:color="auto" w:sz="4" w:space="0"/>
              <w:bottom w:val="single" w:color="auto" w:sz="4" w:space="0"/>
              <w:right w:val="single" w:color="auto" w:sz="4" w:space="0"/>
            </w:tcBorders>
            <w:vAlign w:val="center"/>
          </w:tcPr>
          <w:p>
            <w:pPr>
              <w:autoSpaceDN w:val="0"/>
              <w:snapToGrid w:val="0"/>
              <w:jc w:val="center"/>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5分</w:t>
            </w:r>
          </w:p>
        </w:tc>
        <w:tc>
          <w:tcPr>
            <w:tcW w:w="2126" w:type="dxa"/>
            <w:tcBorders>
              <w:top w:val="single" w:color="auto" w:sz="4" w:space="0"/>
              <w:left w:val="single" w:color="auto" w:sz="4" w:space="0"/>
              <w:bottom w:val="single" w:color="auto" w:sz="4" w:space="0"/>
              <w:right w:val="single" w:color="auto" w:sz="4" w:space="0"/>
            </w:tcBorders>
            <w:vAlign w:val="center"/>
          </w:tcPr>
          <w:p>
            <w:pPr>
              <w:autoSpaceDN w:val="0"/>
              <w:snapToGrid w:val="0"/>
              <w:jc w:val="left"/>
              <w:textAlignment w:val="bottom"/>
              <w:rPr>
                <w:rFonts w:eastAsia="宋体"/>
              </w:rPr>
            </w:pPr>
            <w:r>
              <w:rPr>
                <w:rFonts w:hint="eastAsia" w:ascii="仿宋_GB2312" w:hAnsi="宋体" w:eastAsia="仿宋_GB2312"/>
                <w:color w:val="000000"/>
                <w:szCs w:val="21"/>
              </w:rPr>
              <w:t>需任期满一年且考核合格，若任期不满一年的减半加分，考核不合格的不加分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Times New Roman"/>
                <w:b/>
                <w:color w:val="000000"/>
                <w:sz w:val="24"/>
              </w:rPr>
            </w:pPr>
          </w:p>
        </w:tc>
        <w:tc>
          <w:tcPr>
            <w:tcW w:w="2976" w:type="dxa"/>
            <w:tcBorders>
              <w:top w:val="single" w:color="auto" w:sz="4" w:space="0"/>
              <w:left w:val="single" w:color="auto" w:sz="4" w:space="0"/>
              <w:bottom w:val="single" w:color="auto" w:sz="4" w:space="0"/>
              <w:right w:val="single" w:color="auto" w:sz="4" w:space="0"/>
            </w:tcBorders>
            <w:vAlign w:val="center"/>
          </w:tcPr>
          <w:p>
            <w:pPr>
              <w:autoSpaceDN w:val="0"/>
              <w:jc w:val="left"/>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参加国内外专业工作坊学习、人才培训计划获结业证书</w:t>
            </w:r>
          </w:p>
        </w:tc>
        <w:tc>
          <w:tcPr>
            <w:tcW w:w="2552"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宋体"/>
              </w:rPr>
            </w:pPr>
            <w:r>
              <w:rPr>
                <w:rFonts w:hint="eastAsia" w:ascii="仿宋_GB2312" w:hAnsi="宋体" w:eastAsia="仿宋_GB2312"/>
                <w:color w:val="000000"/>
                <w:szCs w:val="21"/>
              </w:rPr>
              <w:t>8分/次</w:t>
            </w:r>
          </w:p>
        </w:tc>
        <w:tc>
          <w:tcPr>
            <w:tcW w:w="2126" w:type="dxa"/>
            <w:tcBorders>
              <w:top w:val="single" w:color="auto" w:sz="4" w:space="0"/>
              <w:left w:val="single" w:color="auto" w:sz="4" w:space="0"/>
              <w:bottom w:val="single" w:color="auto" w:sz="4" w:space="0"/>
              <w:right w:val="single" w:color="auto" w:sz="4" w:space="0"/>
            </w:tcBorders>
            <w:vAlign w:val="center"/>
          </w:tcPr>
          <w:p>
            <w:pPr>
              <w:widowControl/>
              <w:jc w:val="left"/>
              <w:rPr>
                <w:rFonts w:eastAsia="宋体"/>
              </w:rPr>
            </w:pPr>
            <w:r>
              <w:rPr>
                <w:rFonts w:hint="eastAsia" w:ascii="仿宋_GB2312" w:hAnsi="宋体" w:eastAsia="仿宋_GB2312"/>
                <w:color w:val="000000"/>
                <w:szCs w:val="21"/>
              </w:rPr>
              <w:t>需提供结业证书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01" w:type="dxa"/>
          </w:tcPr>
          <w:p>
            <w:pPr>
              <w:autoSpaceDN w:val="0"/>
              <w:spacing w:line="360" w:lineRule="auto"/>
              <w:jc w:val="center"/>
              <w:textAlignment w:val="bottom"/>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社会实践</w:t>
            </w:r>
          </w:p>
        </w:tc>
        <w:tc>
          <w:tcPr>
            <w:tcW w:w="2976" w:type="dxa"/>
            <w:vAlign w:val="center"/>
          </w:tcPr>
          <w:p>
            <w:pPr>
              <w:jc w:val="center"/>
              <w:rPr>
                <w:rFonts w:ascii="仿宋_GB2312" w:hAnsi="宋体" w:eastAsia="仿宋_GB2312" w:cs="Times New Roman"/>
                <w:color w:val="000000"/>
                <w:szCs w:val="21"/>
              </w:rPr>
            </w:pPr>
            <w:r>
              <w:rPr>
                <w:rFonts w:hint="eastAsia" w:ascii="仿宋_GB2312" w:hAnsi="宋体" w:eastAsia="仿宋_GB2312"/>
                <w:color w:val="000000"/>
                <w:szCs w:val="21"/>
              </w:rPr>
              <w:t>申报学校研究生暑期社会实践立项或寒暑假交流访学项目</w:t>
            </w:r>
          </w:p>
        </w:tc>
        <w:tc>
          <w:tcPr>
            <w:tcW w:w="2552" w:type="dxa"/>
            <w:vAlign w:val="center"/>
          </w:tcPr>
          <w:p>
            <w:pPr>
              <w:jc w:val="center"/>
              <w:rPr>
                <w:rFonts w:ascii="仿宋_GB2312" w:hAnsi="宋体" w:eastAsia="仿宋_GB2312" w:cs="Times New Roman"/>
                <w:color w:val="000000"/>
                <w:szCs w:val="21"/>
              </w:rPr>
            </w:pPr>
            <w:r>
              <w:rPr>
                <w:rFonts w:hint="eastAsia" w:ascii="仿宋_GB2312" w:hAnsi="宋体" w:eastAsia="仿宋_GB2312"/>
                <w:color w:val="000000"/>
                <w:szCs w:val="21"/>
              </w:rPr>
              <w:t>5分</w:t>
            </w:r>
          </w:p>
        </w:tc>
        <w:tc>
          <w:tcPr>
            <w:tcW w:w="2126" w:type="dxa"/>
            <w:vAlign w:val="center"/>
          </w:tcPr>
          <w:p>
            <w:pPr>
              <w:widowControl/>
              <w:jc w:val="left"/>
              <w:rPr>
                <w:rFonts w:ascii="仿宋" w:hAnsi="仿宋" w:eastAsia="仿宋"/>
              </w:rPr>
            </w:pPr>
            <w:r>
              <w:rPr>
                <w:rFonts w:hint="eastAsia" w:ascii="仿宋" w:hAnsi="仿宋" w:eastAsia="仿宋"/>
              </w:rPr>
              <w:t>评为优秀另加2分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restart"/>
          </w:tcPr>
          <w:p>
            <w:pPr>
              <w:widowControl/>
              <w:jc w:val="left"/>
              <w:rPr>
                <w:rFonts w:ascii="仿宋_GB2312" w:hAnsi="宋体" w:eastAsia="仿宋_GB2312" w:cs="Times New Roman"/>
                <w:b/>
                <w:color w:val="000000"/>
                <w:sz w:val="24"/>
                <w:szCs w:val="20"/>
              </w:rPr>
            </w:pPr>
          </w:p>
          <w:p>
            <w:pPr>
              <w:widowControl/>
              <w:jc w:val="left"/>
              <w:rPr>
                <w:rFonts w:ascii="仿宋_GB2312" w:hAnsi="宋体" w:eastAsia="仿宋_GB2312"/>
                <w:b/>
                <w:color w:val="000000"/>
                <w:sz w:val="24"/>
                <w:szCs w:val="20"/>
              </w:rPr>
            </w:pPr>
          </w:p>
          <w:p>
            <w:pPr>
              <w:widowControl/>
              <w:jc w:val="left"/>
              <w:rPr>
                <w:rFonts w:ascii="仿宋_GB2312" w:hAnsi="宋体" w:eastAsia="仿宋_GB2312"/>
                <w:b/>
                <w:color w:val="000000"/>
                <w:sz w:val="24"/>
                <w:szCs w:val="20"/>
              </w:rPr>
            </w:pPr>
          </w:p>
          <w:p>
            <w:pPr>
              <w:widowControl/>
              <w:jc w:val="left"/>
              <w:rPr>
                <w:rFonts w:ascii="仿宋_GB2312" w:hAnsi="宋体" w:eastAsia="仿宋_GB2312" w:cs="Times New Roman"/>
                <w:b/>
                <w:color w:val="000000"/>
                <w:sz w:val="24"/>
                <w:szCs w:val="20"/>
              </w:rPr>
            </w:pPr>
            <w:r>
              <w:rPr>
                <w:rFonts w:hint="eastAsia" w:ascii="仿宋_GB2312" w:hAnsi="宋体" w:eastAsia="仿宋_GB2312"/>
                <w:b/>
                <w:color w:val="000000"/>
                <w:sz w:val="24"/>
                <w:szCs w:val="20"/>
              </w:rPr>
              <w:t>减分项</w:t>
            </w:r>
          </w:p>
        </w:tc>
        <w:tc>
          <w:tcPr>
            <w:tcW w:w="2976" w:type="dxa"/>
            <w:vAlign w:val="center"/>
          </w:tcPr>
          <w:p>
            <w:pPr>
              <w:autoSpaceDN w:val="0"/>
              <w:snapToGrid w:val="0"/>
              <w:jc w:val="center"/>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无故不参加学院安排的学术活动。</w:t>
            </w:r>
          </w:p>
        </w:tc>
        <w:tc>
          <w:tcPr>
            <w:tcW w:w="2552" w:type="dxa"/>
            <w:vAlign w:val="center"/>
          </w:tcPr>
          <w:p>
            <w:pPr>
              <w:widowControl/>
              <w:jc w:val="center"/>
              <w:rPr>
                <w:rFonts w:ascii="仿宋" w:hAnsi="仿宋" w:eastAsia="仿宋"/>
              </w:rPr>
            </w:pPr>
            <w:r>
              <w:rPr>
                <w:rFonts w:hint="eastAsia" w:ascii="仿宋" w:hAnsi="仿宋" w:eastAsia="仿宋"/>
              </w:rPr>
              <w:t>—1分/次</w:t>
            </w:r>
          </w:p>
        </w:tc>
        <w:tc>
          <w:tcPr>
            <w:tcW w:w="2126" w:type="dxa"/>
            <w:vMerge w:val="restart"/>
            <w:vAlign w:val="center"/>
          </w:tcPr>
          <w:p>
            <w:pPr>
              <w:widowControl/>
              <w:jc w:val="left"/>
              <w:rPr>
                <w:rFonts w:eastAsia="宋体"/>
              </w:rPr>
            </w:pPr>
            <w:r>
              <w:rPr>
                <w:rFonts w:hint="eastAsia" w:ascii="仿宋" w:hAnsi="仿宋" w:eastAsia="仿宋"/>
              </w:rPr>
              <w:t>该项得分累计为—5分，“实践活动”评定为</w:t>
            </w:r>
            <w:r>
              <w:rPr>
                <w:rFonts w:hint="eastAsia" w:ascii="仿宋" w:hAnsi="仿宋" w:eastAsia="仿宋"/>
                <w:color w:val="FF0000"/>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Pr>
          <w:p>
            <w:pPr>
              <w:widowControl/>
              <w:jc w:val="left"/>
              <w:rPr>
                <w:rFonts w:ascii="仿宋_GB2312" w:hAnsi="宋体" w:eastAsia="仿宋_GB2312" w:cs="Times New Roman"/>
                <w:b/>
                <w:color w:val="000000"/>
                <w:sz w:val="24"/>
              </w:rPr>
            </w:pPr>
          </w:p>
        </w:tc>
        <w:tc>
          <w:tcPr>
            <w:tcW w:w="2976" w:type="dxa"/>
            <w:vAlign w:val="center"/>
          </w:tcPr>
          <w:p>
            <w:pPr>
              <w:autoSpaceDN w:val="0"/>
              <w:snapToGrid w:val="0"/>
              <w:jc w:val="center"/>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无故不完成社会实践任务。</w:t>
            </w:r>
          </w:p>
        </w:tc>
        <w:tc>
          <w:tcPr>
            <w:tcW w:w="2552" w:type="dxa"/>
            <w:vAlign w:val="center"/>
          </w:tcPr>
          <w:p>
            <w:pPr>
              <w:widowControl/>
              <w:jc w:val="center"/>
              <w:rPr>
                <w:rFonts w:eastAsia="宋体"/>
              </w:rPr>
            </w:pPr>
            <w:r>
              <w:rPr>
                <w:rFonts w:hint="eastAsia" w:ascii="仿宋" w:hAnsi="仿宋" w:eastAsia="仿宋"/>
              </w:rPr>
              <w:t>—1分/次</w:t>
            </w:r>
          </w:p>
        </w:tc>
        <w:tc>
          <w:tcPr>
            <w:tcW w:w="2126" w:type="dxa"/>
            <w:vMerge w:val="continue"/>
            <w:vAlign w:val="center"/>
          </w:tcPr>
          <w:p>
            <w:pPr>
              <w:widowControl/>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101" w:type="dxa"/>
            <w:vMerge w:val="continue"/>
          </w:tcPr>
          <w:p>
            <w:pPr>
              <w:widowControl/>
              <w:jc w:val="left"/>
              <w:rPr>
                <w:rFonts w:ascii="仿宋_GB2312" w:hAnsi="宋体" w:eastAsia="仿宋_GB2312" w:cs="Times New Roman"/>
                <w:b/>
                <w:color w:val="000000"/>
                <w:sz w:val="24"/>
              </w:rPr>
            </w:pPr>
          </w:p>
        </w:tc>
        <w:tc>
          <w:tcPr>
            <w:tcW w:w="2976" w:type="dxa"/>
            <w:vAlign w:val="center"/>
          </w:tcPr>
          <w:p>
            <w:pPr>
              <w:autoSpaceDN w:val="0"/>
              <w:snapToGrid w:val="0"/>
              <w:jc w:val="center"/>
              <w:textAlignment w:val="bottom"/>
              <w:rPr>
                <w:rFonts w:ascii="仿宋_GB2312" w:hAnsi="宋体" w:eastAsia="仿宋_GB2312" w:cs="Times New Roman"/>
                <w:color w:val="000000"/>
                <w:szCs w:val="21"/>
              </w:rPr>
            </w:pPr>
            <w:r>
              <w:rPr>
                <w:rFonts w:hint="eastAsia" w:ascii="仿宋_GB2312" w:hAnsi="宋体" w:eastAsia="仿宋_GB2312"/>
                <w:color w:val="000000"/>
                <w:szCs w:val="21"/>
              </w:rPr>
              <w:t>鉴定确认剽窃他人学术成果或非法转让技术成果等。</w:t>
            </w:r>
          </w:p>
        </w:tc>
        <w:tc>
          <w:tcPr>
            <w:tcW w:w="2552" w:type="dxa"/>
            <w:vAlign w:val="center"/>
          </w:tcPr>
          <w:p>
            <w:pPr>
              <w:widowControl/>
              <w:jc w:val="center"/>
              <w:rPr>
                <w:rFonts w:eastAsia="宋体"/>
              </w:rPr>
            </w:pPr>
          </w:p>
        </w:tc>
        <w:tc>
          <w:tcPr>
            <w:tcW w:w="2126" w:type="dxa"/>
            <w:vAlign w:val="center"/>
          </w:tcPr>
          <w:p>
            <w:pPr>
              <w:autoSpaceDN w:val="0"/>
              <w:snapToGrid w:val="0"/>
              <w:jc w:val="left"/>
              <w:textAlignment w:val="bottom"/>
              <w:rPr>
                <w:rFonts w:hint="eastAsia" w:ascii="仿宋_GB2312" w:hAnsi="宋体" w:eastAsia="仿宋_GB2312" w:cs="Times New Roman"/>
                <w:color w:val="000000"/>
                <w:szCs w:val="21"/>
                <w:lang w:eastAsia="zh-CN"/>
              </w:rPr>
            </w:pPr>
            <w:r>
              <w:rPr>
                <w:rFonts w:hint="eastAsia" w:ascii="仿宋_GB2312" w:hAnsi="宋体" w:eastAsia="仿宋_GB2312"/>
                <w:color w:val="000000"/>
                <w:szCs w:val="21"/>
              </w:rPr>
              <w:t>“实践活动”评定为</w:t>
            </w:r>
            <w:r>
              <w:rPr>
                <w:rFonts w:hint="eastAsia" w:ascii="仿宋_GB2312" w:hAnsi="宋体" w:eastAsia="仿宋_GB2312"/>
                <w:color w:val="FF0000"/>
                <w:szCs w:val="21"/>
              </w:rPr>
              <w:t>不合格</w:t>
            </w:r>
            <w:r>
              <w:rPr>
                <w:rFonts w:hint="eastAsia" w:ascii="仿宋_GB2312" w:hAnsi="宋体" w:eastAsia="仿宋_GB2312"/>
                <w:color w:val="FF0000"/>
                <w:szCs w:val="21"/>
                <w:lang w:eastAsia="zh-CN"/>
              </w:rPr>
              <w:t>，奖学金一票否决</w:t>
            </w:r>
          </w:p>
        </w:tc>
      </w:tr>
    </w:tbl>
    <w:p/>
    <w:p>
      <w:pPr>
        <w:autoSpaceDN w:val="0"/>
        <w:spacing w:line="360" w:lineRule="auto"/>
        <w:jc w:val="left"/>
        <w:textAlignment w:val="bottom"/>
        <w:rPr>
          <w:rFonts w:hint="eastAsia" w:ascii="宋体" w:hAnsi="宋体" w:eastAsiaTheme="minorEastAsia"/>
          <w:b/>
          <w:color w:val="000000"/>
          <w:sz w:val="24"/>
          <w:lang w:eastAsia="zh-CN"/>
        </w:rPr>
      </w:pPr>
      <w:r>
        <w:rPr>
          <w:rFonts w:hint="eastAsia" w:ascii="宋体" w:hAnsi="宋体"/>
          <w:b/>
          <w:color w:val="000000"/>
          <w:sz w:val="24"/>
          <w:lang w:eastAsia="zh-CN"/>
        </w:rPr>
        <w:t>四、</w:t>
      </w:r>
      <w:r>
        <w:rPr>
          <w:rFonts w:hint="eastAsia" w:ascii="宋体" w:hAnsi="宋体" w:eastAsiaTheme="minorEastAsia"/>
          <w:color w:val="000000"/>
          <w:kern w:val="2"/>
          <w:sz w:val="24"/>
        </w:rPr>
        <w:t>本细则制订后，将在201</w:t>
      </w:r>
      <w:r>
        <w:rPr>
          <w:rFonts w:hint="eastAsia" w:ascii="宋体" w:hAnsi="宋体" w:eastAsiaTheme="minorEastAsia"/>
          <w:color w:val="000000"/>
          <w:kern w:val="2"/>
          <w:sz w:val="24"/>
          <w:lang w:val="en-US" w:eastAsia="zh-CN"/>
        </w:rPr>
        <w:t>8</w:t>
      </w:r>
      <w:r>
        <w:rPr>
          <w:rFonts w:hint="eastAsia" w:ascii="宋体" w:hAnsi="宋体" w:eastAsiaTheme="minorEastAsia"/>
          <w:color w:val="000000"/>
          <w:kern w:val="2"/>
          <w:sz w:val="24"/>
        </w:rPr>
        <w:t>年开始实行。本细则最终解释权归杭师大美术学院研究生奖学金评定领导小组所有。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C6E48"/>
    <w:multiLevelType w:val="multilevel"/>
    <w:tmpl w:val="0B5C6E48"/>
    <w:lvl w:ilvl="0" w:tentative="0">
      <w:start w:val="1"/>
      <w:numFmt w:val="decimal"/>
      <w:lvlText w:val="%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A0A38"/>
    <w:rsid w:val="00024F69"/>
    <w:rsid w:val="00042C14"/>
    <w:rsid w:val="000D50E2"/>
    <w:rsid w:val="00112680"/>
    <w:rsid w:val="00126078"/>
    <w:rsid w:val="00175E54"/>
    <w:rsid w:val="0019764F"/>
    <w:rsid w:val="002130B1"/>
    <w:rsid w:val="002B54D4"/>
    <w:rsid w:val="002D633A"/>
    <w:rsid w:val="004004A7"/>
    <w:rsid w:val="00430397"/>
    <w:rsid w:val="0044537E"/>
    <w:rsid w:val="004A5932"/>
    <w:rsid w:val="004E2121"/>
    <w:rsid w:val="0052186F"/>
    <w:rsid w:val="00597B52"/>
    <w:rsid w:val="005B6129"/>
    <w:rsid w:val="005F66E7"/>
    <w:rsid w:val="006F48AE"/>
    <w:rsid w:val="00703647"/>
    <w:rsid w:val="00715CED"/>
    <w:rsid w:val="00757631"/>
    <w:rsid w:val="00767B57"/>
    <w:rsid w:val="00772ED8"/>
    <w:rsid w:val="00783F89"/>
    <w:rsid w:val="007D4F56"/>
    <w:rsid w:val="007E01A0"/>
    <w:rsid w:val="008330A7"/>
    <w:rsid w:val="00840FB0"/>
    <w:rsid w:val="008E569B"/>
    <w:rsid w:val="00936C73"/>
    <w:rsid w:val="009470EC"/>
    <w:rsid w:val="009811CC"/>
    <w:rsid w:val="00A21C57"/>
    <w:rsid w:val="00A23F1B"/>
    <w:rsid w:val="00BB1299"/>
    <w:rsid w:val="00C9347A"/>
    <w:rsid w:val="00D111C4"/>
    <w:rsid w:val="00D20973"/>
    <w:rsid w:val="00D30D6B"/>
    <w:rsid w:val="00DA0A38"/>
    <w:rsid w:val="00DA44AA"/>
    <w:rsid w:val="00DB05CF"/>
    <w:rsid w:val="00DC0B58"/>
    <w:rsid w:val="00E01545"/>
    <w:rsid w:val="00E0597A"/>
    <w:rsid w:val="00E10E97"/>
    <w:rsid w:val="00EA4CCD"/>
    <w:rsid w:val="00F07FB8"/>
    <w:rsid w:val="00FD3D2F"/>
    <w:rsid w:val="024D63B4"/>
    <w:rsid w:val="2B567F1C"/>
    <w:rsid w:val="2D444F70"/>
    <w:rsid w:val="3BFD5C6A"/>
    <w:rsid w:val="4DA242C8"/>
    <w:rsid w:val="7D4A0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11"/>
    <w:qFormat/>
    <w:uiPriority w:val="0"/>
    <w:rPr>
      <w:rFonts w:ascii="Times New Roman" w:hAnsi="Times New Roman" w:eastAsia="宋体" w:cs="Times New Roman"/>
      <w:szCs w:val="20"/>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sz w:val="18"/>
      <w:szCs w:val="18"/>
    </w:rPr>
  </w:style>
  <w:style w:type="character" w:customStyle="1" w:styleId="9">
    <w:name w:val="页脚 Char"/>
    <w:basedOn w:val="5"/>
    <w:link w:val="3"/>
    <w:semiHidden/>
    <w:qFormat/>
    <w:uiPriority w:val="99"/>
    <w:rPr>
      <w:sz w:val="18"/>
      <w:szCs w:val="18"/>
    </w:rPr>
  </w:style>
  <w:style w:type="paragraph" w:styleId="10">
    <w:name w:val="List Paragraph"/>
    <w:basedOn w:val="1"/>
    <w:qFormat/>
    <w:uiPriority w:val="34"/>
    <w:pPr>
      <w:ind w:firstLine="420" w:firstLineChars="200"/>
    </w:pPr>
    <w:rPr>
      <w:rFonts w:ascii="Times New Roman" w:hAnsi="Times New Roman" w:eastAsia="宋体" w:cs="Times New Roman"/>
      <w:szCs w:val="20"/>
    </w:rPr>
  </w:style>
  <w:style w:type="character" w:customStyle="1" w:styleId="11">
    <w:name w:val="正文文本 Char"/>
    <w:basedOn w:val="5"/>
    <w:link w:val="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579</Words>
  <Characters>3305</Characters>
  <Lines>27</Lines>
  <Paragraphs>7</Paragraphs>
  <TotalTime>2</TotalTime>
  <ScaleCrop>false</ScaleCrop>
  <LinksUpToDate>false</LinksUpToDate>
  <CharactersWithSpaces>3877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2018-01-07T10:05:00Z</dcterms:created>
  <dc:creator>ASUS</dc:creator>
  <cp:lastModifiedBy>AA</cp:lastModifiedBy>
  <dcterms:modified xsi:type="dcterms:W3CDTF">2018-09-11T07:57:39Z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