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N w:val="0"/>
        <w:adjustRightInd/>
        <w:snapToGrid/>
        <w:spacing w:after="0"/>
        <w:jc w:val="center"/>
        <w:textAlignment w:val="bottom"/>
        <w:rPr>
          <w:rFonts w:hint="eastAsia" w:ascii="宋体" w:hAnsi="宋体" w:eastAsiaTheme="minorEastAsia"/>
          <w:b/>
          <w:bCs/>
          <w:color w:val="000000"/>
          <w:kern w:val="2"/>
          <w:sz w:val="32"/>
          <w:lang w:eastAsia="zh-CN"/>
        </w:rPr>
      </w:pPr>
      <w:r>
        <w:rPr>
          <w:rFonts w:hint="eastAsia" w:ascii="宋体" w:hAnsi="宋体" w:eastAsiaTheme="minorEastAsia"/>
          <w:b/>
          <w:bCs/>
          <w:color w:val="000000"/>
          <w:kern w:val="2"/>
          <w:sz w:val="32"/>
        </w:rPr>
        <w:t>美术学院研究生</w:t>
      </w:r>
      <w:r>
        <w:rPr>
          <w:rFonts w:hint="eastAsia" w:ascii="宋体" w:hAnsi="宋体" w:eastAsiaTheme="minorEastAsia"/>
          <w:b/>
          <w:bCs/>
          <w:color w:val="000000"/>
          <w:kern w:val="2"/>
          <w:sz w:val="32"/>
          <w:lang w:eastAsia="zh-CN"/>
        </w:rPr>
        <w:t>奖学金及各类荣誉称号评选细则</w:t>
      </w:r>
    </w:p>
    <w:p>
      <w:pPr>
        <w:widowControl w:val="0"/>
        <w:autoSpaceDN w:val="0"/>
        <w:adjustRightInd/>
        <w:snapToGrid/>
        <w:spacing w:after="0"/>
        <w:jc w:val="center"/>
        <w:textAlignment w:val="bottom"/>
        <w:rPr>
          <w:rFonts w:ascii="宋体" w:hAnsi="宋体" w:eastAsiaTheme="minorEastAsia"/>
          <w:b/>
          <w:bCs/>
          <w:color w:val="000000"/>
          <w:kern w:val="2"/>
          <w:sz w:val="32"/>
        </w:rPr>
      </w:pPr>
      <w:r>
        <w:rPr>
          <w:rFonts w:hint="eastAsia" w:ascii="宋体" w:hAnsi="宋体" w:eastAsiaTheme="minorEastAsia"/>
          <w:b/>
          <w:bCs/>
          <w:color w:val="000000"/>
          <w:kern w:val="2"/>
          <w:sz w:val="32"/>
        </w:rPr>
        <w:t>（</w:t>
      </w:r>
      <w:r>
        <w:rPr>
          <w:rFonts w:hint="eastAsia" w:ascii="宋体" w:hAnsi="宋体" w:eastAsiaTheme="minorEastAsia"/>
          <w:b/>
          <w:bCs/>
          <w:color w:val="000000"/>
          <w:kern w:val="2"/>
          <w:sz w:val="32"/>
          <w:lang w:eastAsia="zh-CN"/>
        </w:rPr>
        <w:t>试行</w:t>
      </w:r>
      <w:r>
        <w:rPr>
          <w:rFonts w:hint="eastAsia" w:ascii="宋体" w:hAnsi="宋体" w:eastAsiaTheme="minorEastAsia"/>
          <w:b/>
          <w:bCs/>
          <w:color w:val="000000"/>
          <w:kern w:val="2"/>
          <w:sz w:val="32"/>
        </w:rPr>
        <w:t>）</w:t>
      </w:r>
    </w:p>
    <w:p>
      <w:pPr>
        <w:widowControl w:val="0"/>
        <w:autoSpaceDN w:val="0"/>
        <w:adjustRightInd/>
        <w:snapToGrid/>
        <w:spacing w:after="0" w:line="360" w:lineRule="auto"/>
        <w:textAlignment w:val="bottom"/>
        <w:rPr>
          <w:rFonts w:hint="eastAsia" w:ascii="宋体" w:hAnsi="宋体" w:eastAsiaTheme="minorEastAsia"/>
          <w:b/>
          <w:color w:val="000000"/>
          <w:kern w:val="2"/>
          <w:sz w:val="24"/>
        </w:rPr>
      </w:pPr>
    </w:p>
    <w:p>
      <w:pPr>
        <w:widowControl w:val="0"/>
        <w:autoSpaceDN w:val="0"/>
        <w:adjustRightInd/>
        <w:snapToGrid/>
        <w:spacing w:after="0" w:line="360" w:lineRule="auto"/>
        <w:textAlignment w:val="bottom"/>
        <w:rPr>
          <w:rFonts w:ascii="宋体" w:hAnsi="宋体" w:eastAsiaTheme="minorEastAsia"/>
          <w:b/>
          <w:color w:val="000000"/>
          <w:kern w:val="2"/>
          <w:sz w:val="24"/>
        </w:rPr>
      </w:pPr>
      <w:r>
        <w:rPr>
          <w:rFonts w:hint="eastAsia" w:ascii="宋体" w:hAnsi="宋体" w:eastAsiaTheme="minorEastAsia"/>
          <w:b/>
          <w:color w:val="000000"/>
          <w:kern w:val="2"/>
          <w:sz w:val="24"/>
        </w:rPr>
        <w:t>一、评定对象：</w:t>
      </w:r>
    </w:p>
    <w:p>
      <w:pPr>
        <w:widowControl w:val="0"/>
        <w:autoSpaceDN w:val="0"/>
        <w:adjustRightInd/>
        <w:snapToGrid/>
        <w:spacing w:after="0" w:line="360" w:lineRule="auto"/>
        <w:ind w:left="480"/>
        <w:textAlignment w:val="bottom"/>
        <w:rPr>
          <w:rFonts w:hint="eastAsia" w:ascii="宋体" w:hAnsi="宋体" w:eastAsiaTheme="minorEastAsia"/>
          <w:b/>
          <w:color w:val="000000"/>
          <w:kern w:val="2"/>
          <w:sz w:val="24"/>
        </w:rPr>
      </w:pPr>
      <w:r>
        <w:rPr>
          <w:rFonts w:hint="eastAsia" w:ascii="宋体" w:hAnsi="宋体" w:eastAsiaTheme="minorEastAsia"/>
          <w:color w:val="000000"/>
          <w:kern w:val="2"/>
          <w:sz w:val="24"/>
        </w:rPr>
        <w:t>全日制在校二、三年级研究生（包括学术型和专业学位）。</w:t>
      </w:r>
    </w:p>
    <w:p>
      <w:pPr>
        <w:widowControl w:val="0"/>
        <w:autoSpaceDN w:val="0"/>
        <w:adjustRightInd/>
        <w:snapToGrid/>
        <w:spacing w:after="0" w:line="360" w:lineRule="auto"/>
        <w:textAlignment w:val="bottom"/>
        <w:rPr>
          <w:rFonts w:ascii="宋体" w:hAnsi="宋体" w:eastAsiaTheme="minorEastAsia"/>
          <w:b/>
          <w:color w:val="000000"/>
          <w:kern w:val="2"/>
          <w:sz w:val="24"/>
        </w:rPr>
      </w:pPr>
      <w:r>
        <w:rPr>
          <w:rFonts w:hint="eastAsia" w:ascii="宋体" w:hAnsi="宋体" w:eastAsiaTheme="minorEastAsia"/>
          <w:b/>
          <w:color w:val="000000"/>
          <w:kern w:val="2"/>
          <w:sz w:val="24"/>
        </w:rPr>
        <w:t>二、奖项名称及评定要求</w:t>
      </w:r>
    </w:p>
    <w:tbl>
      <w:tblPr>
        <w:tblStyle w:val="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543"/>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tcBorders>
              <w:top w:val="single" w:color="auto" w:sz="4" w:space="0"/>
              <w:left w:val="single" w:color="auto" w:sz="4" w:space="0"/>
              <w:bottom w:val="single" w:color="auto" w:sz="4" w:space="0"/>
              <w:right w:val="single" w:color="auto" w:sz="4" w:space="0"/>
            </w:tcBorders>
            <w:vAlign w:val="center"/>
          </w:tcPr>
          <w:p>
            <w:pPr>
              <w:widowControl w:val="0"/>
              <w:autoSpaceDN w:val="0"/>
              <w:adjustRightInd/>
              <w:snapToGrid/>
              <w:spacing w:after="0" w:line="360" w:lineRule="auto"/>
              <w:jc w:val="center"/>
              <w:textAlignment w:val="bottom"/>
              <w:rPr>
                <w:rFonts w:ascii="仿宋_GB2312" w:hAnsi="宋体" w:eastAsia="仿宋_GB2312" w:cs="Times New Roman"/>
                <w:b/>
                <w:color w:val="000000"/>
                <w:kern w:val="2"/>
                <w:sz w:val="24"/>
                <w:szCs w:val="20"/>
              </w:rPr>
            </w:pPr>
            <w:r>
              <w:rPr>
                <w:rFonts w:hint="eastAsia" w:ascii="仿宋_GB2312" w:hAnsi="宋体" w:eastAsia="仿宋_GB2312"/>
                <w:b/>
                <w:color w:val="000000"/>
                <w:kern w:val="2"/>
                <w:sz w:val="24"/>
                <w:szCs w:val="20"/>
              </w:rPr>
              <w:t>奖项名称</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val="0"/>
              <w:autoSpaceDN w:val="0"/>
              <w:adjustRightInd/>
              <w:snapToGrid/>
              <w:spacing w:after="0" w:line="360" w:lineRule="auto"/>
              <w:jc w:val="center"/>
              <w:textAlignment w:val="bottom"/>
              <w:rPr>
                <w:rFonts w:ascii="仿宋_GB2312" w:hAnsi="宋体" w:eastAsia="仿宋_GB2312" w:cs="Times New Roman"/>
                <w:b/>
                <w:color w:val="000000"/>
                <w:kern w:val="2"/>
                <w:sz w:val="24"/>
                <w:szCs w:val="20"/>
              </w:rPr>
            </w:pPr>
            <w:r>
              <w:rPr>
                <w:rFonts w:hint="eastAsia" w:ascii="仿宋_GB2312" w:hAnsi="宋体" w:eastAsia="仿宋_GB2312"/>
                <w:b/>
                <w:color w:val="000000"/>
                <w:kern w:val="2"/>
                <w:sz w:val="24"/>
                <w:szCs w:val="20"/>
              </w:rPr>
              <w:t>基本条件</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utoSpaceDN w:val="0"/>
              <w:adjustRightInd/>
              <w:snapToGrid/>
              <w:spacing w:after="0" w:line="360" w:lineRule="auto"/>
              <w:jc w:val="center"/>
              <w:textAlignment w:val="bottom"/>
              <w:rPr>
                <w:rFonts w:ascii="仿宋_GB2312" w:hAnsi="宋体" w:eastAsia="仿宋_GB2312" w:cs="Times New Roman"/>
                <w:b/>
                <w:color w:val="000000"/>
                <w:kern w:val="2"/>
                <w:sz w:val="24"/>
                <w:szCs w:val="20"/>
              </w:rPr>
            </w:pPr>
            <w:r>
              <w:rPr>
                <w:rFonts w:hint="eastAsia" w:ascii="仿宋_GB2312" w:hAnsi="宋体" w:eastAsia="仿宋_GB2312"/>
                <w:b/>
                <w:color w:val="000000"/>
                <w:kern w:val="2"/>
                <w:sz w:val="24"/>
                <w:szCs w:val="20"/>
              </w:rPr>
              <w:t>评定办法</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val="0"/>
              <w:autoSpaceDN w:val="0"/>
              <w:adjustRightInd/>
              <w:snapToGrid/>
              <w:spacing w:after="0" w:line="360" w:lineRule="auto"/>
              <w:jc w:val="center"/>
              <w:textAlignment w:val="bottom"/>
              <w:rPr>
                <w:rFonts w:ascii="仿宋_GB2312" w:hAnsi="宋体" w:eastAsia="仿宋_GB2312" w:cs="Times New Roman"/>
                <w:b/>
                <w:color w:val="000000"/>
                <w:kern w:val="2"/>
                <w:sz w:val="24"/>
                <w:szCs w:val="20"/>
              </w:rPr>
            </w:pPr>
            <w:r>
              <w:rPr>
                <w:rFonts w:hint="eastAsia" w:ascii="仿宋_GB2312" w:hAnsi="宋体" w:eastAsia="仿宋_GB2312"/>
                <w:b/>
                <w:color w:val="000000"/>
                <w:kern w:val="2"/>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44" w:type="dxa"/>
            <w:tcBorders>
              <w:top w:val="single" w:color="auto" w:sz="4" w:space="0"/>
              <w:left w:val="single" w:color="auto" w:sz="4" w:space="0"/>
              <w:right w:val="single" w:color="auto" w:sz="4" w:space="0"/>
            </w:tcBorders>
            <w:vAlign w:val="center"/>
          </w:tcPr>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r>
              <w:rPr>
                <w:rFonts w:hint="eastAsia" w:ascii="仿宋" w:hAnsi="仿宋" w:eastAsia="仿宋"/>
                <w:b/>
                <w:kern w:val="2"/>
                <w:sz w:val="21"/>
              </w:rPr>
              <w:t>国家奖学金</w:t>
            </w:r>
          </w:p>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p>
          <w:p>
            <w:pPr>
              <w:adjustRightInd/>
              <w:snapToGrid/>
              <w:spacing w:after="0"/>
              <w:jc w:val="center"/>
              <w:rPr>
                <w:rFonts w:ascii="仿宋" w:hAnsi="仿宋" w:eastAsia="仿宋"/>
                <w:b/>
                <w:kern w:val="2"/>
                <w:sz w:val="21"/>
              </w:rPr>
            </w:pPr>
          </w:p>
        </w:tc>
        <w:tc>
          <w:tcPr>
            <w:tcW w:w="3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曾获研究生学业奖学金一等奖，同等条件下，已通过国家大学英语水平四、六级考试者优先考虑；</w:t>
            </w:r>
          </w:p>
          <w:p>
            <w:pPr>
              <w:adjustRightInd/>
              <w:snapToGrid/>
              <w:spacing w:after="0"/>
              <w:jc w:val="both"/>
              <w:rPr>
                <w:rFonts w:hint="eastAsia" w:ascii="仿宋" w:hAnsi="仿宋" w:eastAsia="仿宋"/>
                <w:kern w:val="2"/>
                <w:sz w:val="21"/>
              </w:rPr>
            </w:pPr>
            <w:r>
              <w:rPr>
                <w:rFonts w:hint="eastAsia" w:ascii="仿宋" w:hAnsi="仿宋" w:eastAsia="仿宋"/>
                <w:b/>
                <w:kern w:val="2"/>
                <w:sz w:val="21"/>
                <w:u w:val="single"/>
              </w:rPr>
              <w:t>学术型研究生</w:t>
            </w:r>
            <w:r>
              <w:rPr>
                <w:rFonts w:hint="eastAsia" w:ascii="仿宋" w:hAnsi="仿宋" w:eastAsia="仿宋"/>
                <w:kern w:val="2"/>
                <w:sz w:val="21"/>
              </w:rPr>
              <w:t>至少符合以下一项：</w:t>
            </w:r>
          </w:p>
          <w:p>
            <w:pPr>
              <w:adjustRightInd/>
              <w:snapToGrid/>
              <w:spacing w:after="0"/>
              <w:jc w:val="both"/>
              <w:rPr>
                <w:rFonts w:hint="eastAsia" w:ascii="仿宋" w:hAnsi="仿宋" w:eastAsia="仿宋"/>
                <w:kern w:val="2"/>
                <w:sz w:val="21"/>
              </w:rPr>
            </w:pPr>
            <w:r>
              <w:rPr>
                <w:rFonts w:hint="eastAsia" w:ascii="仿宋" w:hAnsi="仿宋" w:eastAsia="仿宋"/>
                <w:kern w:val="2"/>
                <w:sz w:val="21"/>
              </w:rPr>
              <w:t>1.在二级期刊上正式发表论文；</w:t>
            </w:r>
          </w:p>
          <w:p>
            <w:pPr>
              <w:adjustRightInd/>
              <w:snapToGrid/>
              <w:spacing w:after="0"/>
              <w:jc w:val="both"/>
              <w:rPr>
                <w:rFonts w:hint="eastAsia" w:ascii="仿宋" w:hAnsi="仿宋" w:eastAsia="仿宋"/>
                <w:kern w:val="2"/>
                <w:sz w:val="21"/>
              </w:rPr>
            </w:pPr>
            <w:r>
              <w:rPr>
                <w:rFonts w:hint="eastAsia" w:ascii="仿宋" w:hAnsi="仿宋" w:eastAsia="仿宋"/>
                <w:kern w:val="2"/>
                <w:sz w:val="21"/>
              </w:rPr>
              <w:t>2.出版 C 类及以上的专著、编著、译著和教材的；</w:t>
            </w:r>
          </w:p>
          <w:p>
            <w:pPr>
              <w:adjustRightInd/>
              <w:snapToGrid/>
              <w:spacing w:after="0"/>
              <w:jc w:val="both"/>
              <w:rPr>
                <w:rFonts w:hint="eastAsia" w:ascii="仿宋" w:hAnsi="仿宋" w:eastAsia="仿宋"/>
                <w:kern w:val="2"/>
                <w:sz w:val="21"/>
              </w:rPr>
            </w:pPr>
            <w:r>
              <w:rPr>
                <w:rFonts w:hint="eastAsia" w:ascii="仿宋" w:hAnsi="仿宋" w:eastAsia="仿宋"/>
                <w:kern w:val="2"/>
                <w:sz w:val="21"/>
              </w:rPr>
              <w:t>3.获授权的国家发明专利的；</w:t>
            </w:r>
          </w:p>
          <w:p>
            <w:pPr>
              <w:adjustRightInd/>
              <w:snapToGrid/>
              <w:spacing w:after="0"/>
              <w:jc w:val="both"/>
              <w:rPr>
                <w:rFonts w:hint="eastAsia" w:ascii="仿宋" w:hAnsi="仿宋" w:eastAsia="仿宋"/>
                <w:kern w:val="2"/>
                <w:sz w:val="21"/>
              </w:rPr>
            </w:pPr>
            <w:r>
              <w:rPr>
                <w:rFonts w:hint="eastAsia" w:ascii="仿宋" w:hAnsi="仿宋" w:eastAsia="仿宋"/>
                <w:kern w:val="2"/>
                <w:sz w:val="21"/>
              </w:rPr>
              <w:t>4.获学校认定的学科竞赛省级二等奖及以上奖项的；</w:t>
            </w:r>
          </w:p>
          <w:p>
            <w:pPr>
              <w:adjustRightInd/>
              <w:snapToGrid/>
              <w:spacing w:after="0"/>
              <w:jc w:val="both"/>
              <w:rPr>
                <w:rFonts w:hint="eastAsia" w:ascii="仿宋" w:hAnsi="仿宋" w:eastAsia="仿宋"/>
                <w:kern w:val="2"/>
                <w:sz w:val="21"/>
              </w:rPr>
            </w:pPr>
            <w:r>
              <w:rPr>
                <w:rFonts w:hint="eastAsia" w:ascii="仿宋" w:hAnsi="仿宋" w:eastAsia="仿宋"/>
                <w:kern w:val="2"/>
                <w:sz w:val="21"/>
              </w:rPr>
              <w:t>5.主持省级及以上科研项目或经费达 2 万元以上的横向课题的；</w:t>
            </w:r>
          </w:p>
          <w:p>
            <w:pPr>
              <w:adjustRightInd/>
              <w:snapToGrid/>
              <w:spacing w:after="0"/>
              <w:jc w:val="both"/>
              <w:rPr>
                <w:rFonts w:hint="eastAsia" w:ascii="仿宋" w:hAnsi="仿宋" w:eastAsia="仿宋"/>
                <w:kern w:val="2"/>
                <w:sz w:val="21"/>
              </w:rPr>
            </w:pPr>
            <w:r>
              <w:rPr>
                <w:rFonts w:hint="eastAsia" w:ascii="仿宋" w:hAnsi="仿宋" w:eastAsia="仿宋"/>
                <w:kern w:val="2"/>
                <w:sz w:val="21"/>
              </w:rPr>
              <w:t>6.在道德风尚、科学研究、创新发明、社会实践、社会工作等某一方面表现特别优秀，得到社会广泛认可，获得省部级及以上奖励的。</w:t>
            </w:r>
          </w:p>
          <w:p>
            <w:pPr>
              <w:adjustRightInd/>
              <w:snapToGrid/>
              <w:spacing w:after="0"/>
              <w:jc w:val="both"/>
              <w:rPr>
                <w:rFonts w:hint="eastAsia" w:ascii="仿宋" w:hAnsi="仿宋" w:eastAsia="仿宋"/>
                <w:kern w:val="2"/>
                <w:sz w:val="21"/>
              </w:rPr>
            </w:pPr>
            <w:r>
              <w:rPr>
                <w:rFonts w:hint="eastAsia" w:ascii="仿宋" w:hAnsi="仿宋" w:eastAsia="仿宋"/>
                <w:b/>
                <w:kern w:val="2"/>
                <w:sz w:val="21"/>
                <w:u w:val="single"/>
              </w:rPr>
              <w:t>专业型研究生</w:t>
            </w:r>
            <w:r>
              <w:rPr>
                <w:rFonts w:hint="eastAsia" w:ascii="仿宋" w:hAnsi="仿宋" w:eastAsia="仿宋"/>
                <w:kern w:val="2"/>
                <w:sz w:val="21"/>
              </w:rPr>
              <w:t>至少符合以下一项：</w:t>
            </w:r>
          </w:p>
          <w:p>
            <w:pPr>
              <w:adjustRightInd/>
              <w:snapToGrid/>
              <w:spacing w:after="0"/>
              <w:jc w:val="both"/>
              <w:rPr>
                <w:rFonts w:hint="eastAsia" w:ascii="仿宋" w:hAnsi="仿宋" w:eastAsia="仿宋"/>
                <w:kern w:val="2"/>
                <w:sz w:val="21"/>
              </w:rPr>
            </w:pPr>
            <w:r>
              <w:rPr>
                <w:rFonts w:hint="eastAsia" w:ascii="仿宋" w:hAnsi="仿宋" w:eastAsia="仿宋"/>
                <w:kern w:val="2"/>
                <w:sz w:val="21"/>
              </w:rPr>
              <w:t>1.符合学术型研究生要求中的任意一项的；</w:t>
            </w:r>
          </w:p>
          <w:p>
            <w:pPr>
              <w:adjustRightInd/>
              <w:snapToGrid/>
              <w:spacing w:after="0"/>
              <w:jc w:val="both"/>
              <w:rPr>
                <w:rFonts w:hint="eastAsia" w:ascii="仿宋" w:hAnsi="仿宋" w:eastAsia="仿宋"/>
                <w:kern w:val="2"/>
                <w:sz w:val="21"/>
              </w:rPr>
            </w:pPr>
            <w:r>
              <w:rPr>
                <w:rFonts w:hint="eastAsia" w:ascii="仿宋" w:hAnsi="仿宋" w:eastAsia="仿宋"/>
                <w:kern w:val="2"/>
                <w:sz w:val="21"/>
              </w:rPr>
              <w:t>2.获得本学科、本领域或本行业内公认的、有影响力的专业技能竞赛最高层次二等奖及以上的；</w:t>
            </w:r>
          </w:p>
          <w:p>
            <w:pPr>
              <w:adjustRightInd/>
              <w:snapToGrid/>
              <w:spacing w:after="0"/>
              <w:jc w:val="both"/>
              <w:rPr>
                <w:rFonts w:ascii="仿宋" w:hAnsi="仿宋" w:eastAsia="仿宋"/>
                <w:kern w:val="2"/>
                <w:sz w:val="21"/>
              </w:rPr>
            </w:pPr>
            <w:r>
              <w:rPr>
                <w:rFonts w:hint="eastAsia" w:ascii="仿宋" w:hAnsi="仿宋" w:eastAsia="仿宋"/>
                <w:kern w:val="2"/>
                <w:sz w:val="21"/>
              </w:rPr>
              <w:t>3.专业实践研究成果获得地市级党委、政府或省级及以上部门批示、表彰或被采纳的。</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1.符合“基本条件”要求；</w:t>
            </w:r>
          </w:p>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2.评定当年综合素质“优秀”；</w:t>
            </w:r>
          </w:p>
          <w:p>
            <w:pPr>
              <w:widowControl w:val="0"/>
              <w:adjustRightInd/>
              <w:snapToGrid/>
              <w:spacing w:after="0"/>
              <w:jc w:val="both"/>
              <w:rPr>
                <w:rFonts w:ascii="仿宋" w:hAnsi="仿宋" w:eastAsia="仿宋"/>
                <w:kern w:val="2"/>
                <w:sz w:val="21"/>
              </w:rPr>
            </w:pPr>
            <w:r>
              <w:rPr>
                <w:rFonts w:hint="eastAsia" w:ascii="仿宋" w:hAnsi="仿宋" w:eastAsia="仿宋"/>
                <w:kern w:val="2"/>
                <w:sz w:val="21"/>
              </w:rPr>
              <w:t>3.按综合素质评价中“科研与创新创业”分值择优。</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参评成果必须与所学专业相关，且第一署名单位为杭州师范大学。</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参评成果署名原则上为研究生独立作者或第一作者，研究生第二作者、导师第一作者也可参评，但在同等条件下，研究生独立作者或第一作者优先推荐。</w:t>
            </w:r>
          </w:p>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参评成果须为进入我校攻读硕士（博士）学位以来所取得，评选当年 8 月 30 日前已正式公开发表。研究生在基本修业年限内可多次获得研究生国家奖学金，但获奖成果不可重复申报使用。</w:t>
            </w:r>
            <w:r>
              <w:rPr>
                <w:rFonts w:ascii="仿宋_GB2312" w:hAnsi="宋体" w:eastAsia="仿宋_GB2312"/>
                <w:color w:val="000000"/>
                <w:kern w:val="2"/>
                <w:sz w:val="21"/>
                <w:szCs w:val="21"/>
              </w:rPr>
              <w:cr/>
            </w:r>
          </w:p>
          <w:p>
            <w:pPr>
              <w:widowControl w:val="0"/>
              <w:adjustRightInd/>
              <w:snapToGrid/>
              <w:spacing w:after="0"/>
              <w:jc w:val="both"/>
              <w:rPr>
                <w:rFonts w:ascii="仿宋_GB2312" w:hAnsi="宋体"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44" w:type="dxa"/>
            <w:tcBorders>
              <w:top w:val="single" w:color="auto" w:sz="4" w:space="0"/>
              <w:left w:val="single" w:color="auto" w:sz="4" w:space="0"/>
              <w:right w:val="single" w:color="auto" w:sz="4" w:space="0"/>
            </w:tcBorders>
            <w:vAlign w:val="center"/>
          </w:tcPr>
          <w:p>
            <w:pPr>
              <w:adjustRightInd/>
              <w:snapToGrid/>
              <w:spacing w:after="0"/>
              <w:jc w:val="center"/>
              <w:rPr>
                <w:rFonts w:ascii="仿宋" w:hAnsi="仿宋" w:eastAsia="仿宋"/>
                <w:b/>
                <w:kern w:val="2"/>
                <w:sz w:val="21"/>
              </w:rPr>
            </w:pPr>
            <w:r>
              <w:rPr>
                <w:rFonts w:hint="eastAsia" w:ascii="仿宋" w:hAnsi="仿宋" w:eastAsia="仿宋"/>
                <w:b/>
                <w:kern w:val="2"/>
                <w:sz w:val="21"/>
              </w:rPr>
              <w:t>经亨颐奖学金</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1.学习勤奋，善于思考，学习成绩特别优异；在学术上有较深入的研究，有较强的科学研究能力和创新精神，并取得显著的成绩，发表过较高水平的学术论文或取得过较高水平的科研成果；参评当年获得研究生学业奖学金一等奖。</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2.有较强的动手能力和分析问题、解决问题的能力，在教学活动、社会实践或学生工作中取得显著业绩。</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3.在“挑战杯”竞赛中获得全国一等奖（含）以上成绩，团队限排名第一者。</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1.符合“基本条件”中的要求之一；</w:t>
            </w:r>
          </w:p>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2.评定当年综合素质“优秀”；</w:t>
            </w:r>
          </w:p>
          <w:p>
            <w:pPr>
              <w:widowControl w:val="0"/>
              <w:adjustRightInd/>
              <w:snapToGrid/>
              <w:spacing w:after="0"/>
              <w:jc w:val="both"/>
              <w:rPr>
                <w:rFonts w:hint="eastAsia" w:ascii="仿宋_GB2312" w:hAnsi="宋体" w:eastAsia="仿宋_GB2312"/>
                <w:color w:val="000000"/>
                <w:kern w:val="2"/>
                <w:sz w:val="21"/>
                <w:szCs w:val="21"/>
              </w:rPr>
            </w:pPr>
            <w:r>
              <w:rPr>
                <w:rFonts w:hint="eastAsia" w:ascii="仿宋" w:hAnsi="仿宋" w:eastAsia="仿宋"/>
                <w:kern w:val="2"/>
                <w:sz w:val="21"/>
              </w:rPr>
              <w:t>3.按综合素质评价中“科研与创新创业”分值择优。</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ascii="仿宋_GB2312" w:hAnsi="宋体" w:eastAsia="仿宋_GB2312"/>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44" w:type="dxa"/>
            <w:tcBorders>
              <w:left w:val="single" w:color="auto" w:sz="4" w:space="0"/>
              <w:right w:val="single" w:color="auto" w:sz="4" w:space="0"/>
            </w:tcBorders>
            <w:vAlign w:val="center"/>
          </w:tcPr>
          <w:p>
            <w:pPr>
              <w:adjustRightInd/>
              <w:snapToGrid/>
              <w:spacing w:after="0"/>
              <w:jc w:val="center"/>
              <w:rPr>
                <w:rFonts w:ascii="仿宋" w:hAnsi="仿宋" w:eastAsia="仿宋"/>
                <w:b/>
                <w:kern w:val="2"/>
                <w:sz w:val="21"/>
              </w:rPr>
            </w:pPr>
            <w:r>
              <w:rPr>
                <w:rFonts w:hint="eastAsia" w:ascii="仿宋" w:hAnsi="仿宋" w:eastAsia="仿宋"/>
                <w:b/>
                <w:kern w:val="2"/>
                <w:sz w:val="21"/>
              </w:rPr>
              <w:t>学业奖学金</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b/>
                <w:color w:val="000000"/>
                <w:kern w:val="2"/>
                <w:sz w:val="21"/>
                <w:szCs w:val="21"/>
                <w:u w:val="single"/>
              </w:rPr>
              <w:t>一、二等</w:t>
            </w:r>
            <w:r>
              <w:rPr>
                <w:rFonts w:hint="eastAsia" w:ascii="仿宋_GB2312" w:hAnsi="宋体" w:eastAsia="仿宋_GB2312"/>
                <w:color w:val="000000"/>
                <w:kern w:val="2"/>
                <w:sz w:val="21"/>
                <w:szCs w:val="21"/>
              </w:rPr>
              <w:t>学业奖学金要求：</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1.参评学年公开发表学术论文或获得省级及以上学科竞赛二等奖及以上者。</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2.评定当年综合素质“良好”及以上，且“思想品德”和“实践活动”为合格及以上。</w:t>
            </w:r>
          </w:p>
          <w:p>
            <w:pPr>
              <w:adjustRightInd/>
              <w:snapToGrid/>
              <w:spacing w:after="0"/>
              <w:jc w:val="both"/>
              <w:rPr>
                <w:rFonts w:hint="eastAsia" w:ascii="仿宋_GB2312" w:hAnsi="宋体" w:eastAsia="仿宋_GB2312"/>
                <w:color w:val="000000"/>
                <w:kern w:val="2"/>
                <w:sz w:val="21"/>
                <w:szCs w:val="21"/>
              </w:rPr>
            </w:pP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b/>
                <w:color w:val="000000"/>
                <w:kern w:val="2"/>
                <w:sz w:val="21"/>
                <w:szCs w:val="21"/>
                <w:u w:val="single"/>
              </w:rPr>
              <w:t>三等</w:t>
            </w:r>
            <w:r>
              <w:rPr>
                <w:rFonts w:hint="eastAsia" w:ascii="仿宋_GB2312" w:hAnsi="宋体" w:eastAsia="仿宋_GB2312"/>
                <w:color w:val="000000"/>
                <w:kern w:val="2"/>
                <w:sz w:val="21"/>
                <w:szCs w:val="21"/>
              </w:rPr>
              <w:t>学业奖学金要求：</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综合素质“合格”及以上。</w:t>
            </w:r>
          </w:p>
          <w:p>
            <w:pPr>
              <w:adjustRightInd/>
              <w:snapToGrid/>
              <w:spacing w:after="0"/>
              <w:jc w:val="both"/>
              <w:rPr>
                <w:rFonts w:ascii="仿宋_GB2312" w:hAnsi="宋体" w:eastAsia="仿宋_GB2312"/>
                <w:color w:val="000000"/>
                <w:kern w:val="2"/>
                <w:sz w:val="21"/>
                <w:szCs w:val="21"/>
              </w:rPr>
            </w:pPr>
            <w:r>
              <w:rPr>
                <w:rFonts w:ascii="仿宋_GB2312" w:hAnsi="宋体" w:eastAsia="仿宋_GB2312"/>
                <w:color w:val="000000"/>
                <w:kern w:val="2"/>
                <w:sz w:val="21"/>
                <w:szCs w:val="21"/>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1.符合“基本条件”要求；</w:t>
            </w:r>
          </w:p>
          <w:p>
            <w:pPr>
              <w:adjustRightInd/>
              <w:snapToGrid/>
              <w:spacing w:after="0"/>
              <w:jc w:val="both"/>
              <w:rPr>
                <w:rFonts w:hint="eastAsia" w:ascii="仿宋_GB2312" w:hAnsi="宋体" w:eastAsia="仿宋_GB2312"/>
                <w:color w:val="000000"/>
                <w:kern w:val="2"/>
                <w:sz w:val="21"/>
                <w:szCs w:val="21"/>
              </w:rPr>
            </w:pPr>
            <w:r>
              <w:rPr>
                <w:rFonts w:hint="eastAsia" w:ascii="仿宋" w:hAnsi="仿宋" w:eastAsia="仿宋"/>
                <w:kern w:val="2"/>
                <w:sz w:val="21"/>
              </w:rPr>
              <w:t>2.按综合素质评价中的“科研与创新创业”分值排序。</w:t>
            </w:r>
          </w:p>
          <w:p>
            <w:pPr>
              <w:adjustRightInd/>
              <w:snapToGrid/>
              <w:spacing w:after="0"/>
              <w:jc w:val="both"/>
              <w:rPr>
                <w:rFonts w:hint="eastAsia" w:ascii="仿宋_GB2312" w:hAnsi="宋体" w:eastAsia="仿宋_GB2312"/>
                <w:color w:val="000000"/>
                <w:kern w:val="2"/>
                <w:sz w:val="21"/>
                <w:szCs w:val="21"/>
              </w:rPr>
            </w:pPr>
          </w:p>
          <w:p>
            <w:pPr>
              <w:adjustRightInd/>
              <w:snapToGrid/>
              <w:spacing w:after="0"/>
              <w:jc w:val="both"/>
              <w:rPr>
                <w:rFonts w:ascii="仿宋_GB2312" w:hAnsi="宋体" w:eastAsia="仿宋_GB2312"/>
                <w:color w:val="000000"/>
                <w:kern w:val="2"/>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评选比例：</w:t>
            </w:r>
          </w:p>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一等不超过班级人数15%、二等不超过班级人数30%、三等不超过班级人数55%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44" w:type="dxa"/>
            <w:tcBorders>
              <w:left w:val="single" w:color="auto" w:sz="4" w:space="0"/>
              <w:right w:val="single" w:color="auto" w:sz="4" w:space="0"/>
            </w:tcBorders>
            <w:vAlign w:val="center"/>
          </w:tcPr>
          <w:p>
            <w:pPr>
              <w:adjustRightInd/>
              <w:snapToGrid/>
              <w:spacing w:after="0"/>
              <w:jc w:val="center"/>
              <w:rPr>
                <w:rFonts w:hint="eastAsia" w:ascii="仿宋" w:hAnsi="仿宋" w:eastAsia="仿宋"/>
                <w:b/>
                <w:kern w:val="2"/>
                <w:sz w:val="21"/>
              </w:rPr>
            </w:pPr>
            <w:r>
              <w:rPr>
                <w:rFonts w:hint="eastAsia" w:ascii="仿宋" w:hAnsi="仿宋" w:eastAsia="仿宋"/>
                <w:b/>
                <w:kern w:val="2"/>
                <w:sz w:val="21"/>
              </w:rPr>
              <w:t>优秀研究生</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1.思想品德优秀，积极参加社会实践、公益活动等；</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 xml:space="preserve"> 2.学习成绩出色，参评当年获得研究生学业奖学金二等奖及以上；</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3.科研能力较强，发表一定的科研成果，或参加省级以上学科竞赛获奖；</w:t>
            </w:r>
          </w:p>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4.积极参加体育锻炼、文体活动及其他有益的社会活动，乐于承担社会工作且有突出表现。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1.符合“基本条件”要求；</w:t>
            </w:r>
          </w:p>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2.按</w:t>
            </w:r>
            <w:r>
              <w:rPr>
                <w:rFonts w:hint="eastAsia" w:ascii="仿宋" w:hAnsi="仿宋" w:eastAsia="仿宋"/>
                <w:kern w:val="2"/>
                <w:sz w:val="21"/>
              </w:rPr>
              <w:t>综合素质评价总分排序</w:t>
            </w:r>
            <w:r>
              <w:rPr>
                <w:rFonts w:hint="eastAsia" w:ascii="仿宋" w:hAnsi="仿宋" w:eastAsia="仿宋"/>
                <w:kern w:val="2"/>
                <w:sz w:val="21"/>
                <w:lang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评选比例不超过班级人数10％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44" w:type="dxa"/>
            <w:tcBorders>
              <w:left w:val="single" w:color="auto" w:sz="4" w:space="0"/>
              <w:right w:val="single" w:color="auto" w:sz="4" w:space="0"/>
            </w:tcBorders>
            <w:vAlign w:val="center"/>
          </w:tcPr>
          <w:p>
            <w:pPr>
              <w:adjustRightInd/>
              <w:snapToGrid/>
              <w:spacing w:after="0"/>
              <w:jc w:val="center"/>
              <w:rPr>
                <w:rFonts w:hint="eastAsia" w:ascii="仿宋" w:hAnsi="仿宋" w:eastAsia="仿宋"/>
                <w:b/>
                <w:kern w:val="2"/>
                <w:sz w:val="21"/>
              </w:rPr>
            </w:pPr>
            <w:r>
              <w:rPr>
                <w:rFonts w:hint="eastAsia" w:ascii="仿宋" w:hAnsi="仿宋" w:eastAsia="仿宋"/>
                <w:b/>
                <w:kern w:val="2"/>
                <w:sz w:val="21"/>
              </w:rPr>
              <w:t>优秀研究生干部</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1.担任研究生干部一届以上（含一届），有较高的思政政治素质，学习刻苦努力，成绩优秀，热心社会工作；</w:t>
            </w:r>
          </w:p>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2.有较强的工作能力，积极主动为同学服务，在同学中有较高威信，工作任劳任怨，切实起到骨干带头作用，并在社会工作中取得一定成绩。</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1.符合“基本条件”要求；</w:t>
            </w:r>
          </w:p>
          <w:p>
            <w:pPr>
              <w:adjustRightInd/>
              <w:snapToGrid/>
              <w:spacing w:after="0"/>
              <w:jc w:val="both"/>
              <w:rPr>
                <w:rFonts w:hint="eastAsia" w:ascii="仿宋" w:hAnsi="仿宋" w:eastAsia="仿宋"/>
                <w:kern w:val="2"/>
                <w:sz w:val="21"/>
              </w:rPr>
            </w:pPr>
            <w:r>
              <w:rPr>
                <w:rFonts w:hint="eastAsia" w:ascii="仿宋_GB2312" w:hAnsi="宋体" w:eastAsia="仿宋_GB2312"/>
                <w:color w:val="000000"/>
                <w:kern w:val="2"/>
                <w:sz w:val="21"/>
                <w:szCs w:val="21"/>
              </w:rPr>
              <w:t>2.</w:t>
            </w:r>
            <w:r>
              <w:rPr>
                <w:rFonts w:hint="eastAsia" w:ascii="仿宋" w:hAnsi="仿宋" w:eastAsia="仿宋"/>
                <w:kern w:val="2"/>
                <w:sz w:val="21"/>
              </w:rPr>
              <w:t>综合素质评价“优秀”；</w:t>
            </w:r>
          </w:p>
          <w:p>
            <w:pPr>
              <w:adjustRightInd/>
              <w:snapToGrid/>
              <w:spacing w:after="0"/>
              <w:jc w:val="both"/>
              <w:rPr>
                <w:rFonts w:ascii="仿宋_GB2312" w:hAnsi="宋体" w:eastAsia="仿宋_GB2312"/>
                <w:color w:val="000000"/>
                <w:kern w:val="2"/>
                <w:sz w:val="21"/>
                <w:szCs w:val="21"/>
              </w:rPr>
            </w:pPr>
            <w:r>
              <w:rPr>
                <w:rFonts w:hint="eastAsia" w:ascii="仿宋" w:hAnsi="仿宋" w:eastAsia="仿宋"/>
                <w:kern w:val="2"/>
                <w:sz w:val="21"/>
              </w:rPr>
              <w:t>3.按综合素质评价“思想品德”+“实践活动”分值择优。</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评选比例不超过学院研究生干部数的 15%</w:t>
            </w:r>
            <w:r>
              <w:rPr>
                <w:rFonts w:hint="eastAsia" w:ascii="仿宋_GB2312" w:hAnsi="宋体" w:eastAsia="仿宋_GB2312"/>
                <w:color w:val="000000"/>
                <w:kern w:val="2"/>
                <w:sz w:val="21"/>
                <w:szCs w:val="21"/>
                <w:lang w:eastAsia="zh-CN"/>
              </w:rPr>
              <w:t>，同等条件下，优先考虑综合素质分高者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44" w:type="dxa"/>
            <w:tcBorders>
              <w:left w:val="single" w:color="auto" w:sz="4" w:space="0"/>
              <w:right w:val="single" w:color="auto" w:sz="4" w:space="0"/>
            </w:tcBorders>
            <w:vAlign w:val="center"/>
          </w:tcPr>
          <w:p>
            <w:pPr>
              <w:adjustRightInd/>
              <w:snapToGrid/>
              <w:spacing w:after="0"/>
              <w:jc w:val="center"/>
              <w:rPr>
                <w:rFonts w:hint="eastAsia" w:ascii="仿宋" w:hAnsi="仿宋" w:eastAsia="仿宋"/>
                <w:b/>
                <w:kern w:val="2"/>
                <w:sz w:val="21"/>
              </w:rPr>
            </w:pPr>
            <w:r>
              <w:rPr>
                <w:rFonts w:hint="eastAsia" w:ascii="仿宋" w:hAnsi="仿宋" w:eastAsia="仿宋"/>
                <w:b/>
                <w:kern w:val="2"/>
                <w:sz w:val="21"/>
              </w:rPr>
              <w:t>优秀毕业生</w:t>
            </w:r>
          </w:p>
        </w:tc>
        <w:tc>
          <w:tcPr>
            <w:tcW w:w="35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1.学习努力，成绩优秀，有优秀学术论文发表或取得科研成果；</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2.校级优秀毕业研究生须获得优秀研究生、优秀研究生干部称号或学业奖学金一等奖一项及以上，省级优秀毕业研究生须获得优秀研究生、优秀研究生干部称号或学业奖学金一等奖两项（次）及以上；</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3.毕业论文成绩优良</w:t>
            </w:r>
            <w:r>
              <w:rPr>
                <w:rFonts w:hint="eastAsia" w:ascii="仿宋_GB2312" w:hAnsi="宋体" w:eastAsia="仿宋_GB2312"/>
                <w:color w:val="000000"/>
                <w:kern w:val="2"/>
                <w:sz w:val="21"/>
                <w:szCs w:val="21"/>
                <w:lang w:eastAsia="zh-CN"/>
              </w:rPr>
              <w:t>，盲审不能出现</w:t>
            </w:r>
            <w:r>
              <w:rPr>
                <w:rFonts w:hint="eastAsia" w:ascii="仿宋_GB2312" w:hAnsi="宋体" w:eastAsia="仿宋_GB2312"/>
                <w:color w:val="000000"/>
                <w:kern w:val="2"/>
                <w:sz w:val="21"/>
                <w:szCs w:val="21"/>
                <w:lang w:val="en-US" w:eastAsia="zh-CN"/>
              </w:rPr>
              <w:t>2个C</w:t>
            </w:r>
            <w:r>
              <w:rPr>
                <w:rFonts w:hint="eastAsia" w:ascii="仿宋_GB2312" w:hAnsi="宋体" w:eastAsia="仿宋_GB2312"/>
                <w:color w:val="000000"/>
                <w:kern w:val="2"/>
                <w:sz w:val="21"/>
                <w:szCs w:val="21"/>
              </w:rPr>
              <w:t>；</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4.在规定学制内通过毕业论文答辩并获得学位；</w:t>
            </w:r>
          </w:p>
          <w:p>
            <w:pPr>
              <w:adjustRightInd/>
              <w:snapToGrid/>
              <w:spacing w:after="0"/>
              <w:jc w:val="both"/>
              <w:rPr>
                <w:rFonts w:hint="eastAsia" w:ascii="仿宋_GB2312" w:hAnsi="宋体" w:eastAsia="仿宋_GB2312"/>
                <w:color w:val="000000"/>
                <w:kern w:val="2"/>
                <w:sz w:val="21"/>
                <w:szCs w:val="21"/>
              </w:rPr>
            </w:pPr>
            <w:r>
              <w:rPr>
                <w:rFonts w:hint="eastAsia" w:ascii="仿宋_GB2312" w:hAnsi="宋体" w:eastAsia="仿宋_GB2312"/>
                <w:color w:val="000000"/>
                <w:kern w:val="2"/>
                <w:sz w:val="21"/>
                <w:szCs w:val="21"/>
              </w:rPr>
              <w:t>5.树立正确的就业观，对响应国家号召献身国防事业，自愿到西部、到艰苦边远地区和基层就业、创业的毕业生，可优先推荐评选；</w:t>
            </w:r>
          </w:p>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6.某方面表现特别突出的，校级优秀毕业研究生评选条件可适当放宽。</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both"/>
              <w:rPr>
                <w:rFonts w:hint="eastAsia" w:ascii="仿宋" w:hAnsi="仿宋" w:eastAsia="仿宋"/>
                <w:kern w:val="2"/>
                <w:sz w:val="21"/>
              </w:rPr>
            </w:pPr>
            <w:r>
              <w:rPr>
                <w:rFonts w:hint="eastAsia" w:ascii="仿宋" w:hAnsi="仿宋" w:eastAsia="仿宋"/>
                <w:kern w:val="2"/>
                <w:sz w:val="21"/>
              </w:rPr>
              <w:t>1.符合“基本条件”要求；</w:t>
            </w:r>
          </w:p>
          <w:p>
            <w:pPr>
              <w:adjustRightInd/>
              <w:snapToGrid/>
              <w:spacing w:after="0"/>
              <w:jc w:val="both"/>
              <w:rPr>
                <w:rFonts w:hint="eastAsia" w:ascii="仿宋" w:hAnsi="仿宋" w:eastAsia="仿宋"/>
                <w:kern w:val="2"/>
                <w:sz w:val="21"/>
              </w:rPr>
            </w:pPr>
            <w:r>
              <w:rPr>
                <w:rFonts w:hint="eastAsia" w:ascii="仿宋_GB2312" w:hAnsi="宋体" w:eastAsia="仿宋_GB2312"/>
                <w:color w:val="000000"/>
                <w:kern w:val="2"/>
                <w:sz w:val="21"/>
                <w:szCs w:val="21"/>
              </w:rPr>
              <w:t>2.在校期间</w:t>
            </w:r>
            <w:r>
              <w:rPr>
                <w:rFonts w:hint="eastAsia" w:ascii="仿宋" w:hAnsi="仿宋" w:eastAsia="仿宋"/>
                <w:kern w:val="2"/>
                <w:sz w:val="21"/>
              </w:rPr>
              <w:t>综合素质评价“良好”及以上；</w:t>
            </w:r>
          </w:p>
          <w:p>
            <w:pPr>
              <w:adjustRightInd/>
              <w:snapToGrid/>
              <w:spacing w:after="0"/>
              <w:jc w:val="both"/>
              <w:rPr>
                <w:rFonts w:hint="eastAsia" w:ascii="仿宋" w:hAnsi="仿宋" w:eastAsia="仿宋"/>
                <w:kern w:val="2"/>
                <w:sz w:val="21"/>
              </w:rPr>
            </w:pPr>
            <w:r>
              <w:rPr>
                <w:rFonts w:hint="eastAsia" w:ascii="仿宋" w:hAnsi="仿宋" w:eastAsia="仿宋"/>
                <w:kern w:val="2"/>
                <w:sz w:val="21"/>
              </w:rPr>
              <w:t>3. 按综合素质评价中的“科研与创新创业”分值排序。</w:t>
            </w:r>
          </w:p>
          <w:p>
            <w:pPr>
              <w:adjustRightInd/>
              <w:snapToGrid/>
              <w:spacing w:after="0"/>
              <w:jc w:val="both"/>
              <w:rPr>
                <w:rFonts w:ascii="仿宋_GB2312" w:hAnsi="宋体" w:eastAsia="仿宋_GB2312"/>
                <w:color w:val="000000"/>
                <w:kern w:val="2"/>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both"/>
              <w:rPr>
                <w:rFonts w:ascii="仿宋_GB2312" w:hAnsi="宋体" w:eastAsia="仿宋_GB2312"/>
                <w:color w:val="000000"/>
                <w:kern w:val="2"/>
                <w:sz w:val="21"/>
                <w:szCs w:val="21"/>
              </w:rPr>
            </w:pPr>
            <w:r>
              <w:rPr>
                <w:rFonts w:hint="eastAsia" w:ascii="仿宋_GB2312" w:hAnsi="宋体" w:eastAsia="仿宋_GB2312"/>
                <w:color w:val="000000"/>
                <w:kern w:val="2"/>
                <w:sz w:val="21"/>
                <w:szCs w:val="21"/>
              </w:rPr>
              <w:t>校级优秀毕业研究生评选比例不超过应届毕业研究生数的 15%，省级优秀毕业研究生在校级优秀毕业研究生人选中评选，评选比例根据省教育厅相关文件确定。</w:t>
            </w:r>
          </w:p>
        </w:tc>
      </w:tr>
    </w:tbl>
    <w:p>
      <w:pPr>
        <w:numPr>
          <w:ilvl w:val="0"/>
          <w:numId w:val="0"/>
        </w:numPr>
        <w:rPr>
          <w:rFonts w:hint="eastAsia" w:ascii="宋体" w:hAnsi="宋体" w:eastAsiaTheme="minorEastAsia"/>
          <w:color w:val="000000"/>
          <w:kern w:val="2"/>
          <w:sz w:val="24"/>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200" w:line="240" w:lineRule="auto"/>
        <w:ind w:left="0" w:leftChars="0" w:right="0" w:rightChars="0" w:firstLine="482" w:firstLineChars="200"/>
        <w:jc w:val="left"/>
        <w:textAlignment w:val="auto"/>
        <w:outlineLvl w:val="9"/>
        <w:rPr>
          <w:rFonts w:hint="eastAsia" w:ascii="宋体" w:hAnsi="宋体" w:eastAsiaTheme="minorEastAsia"/>
          <w:color w:val="000000"/>
          <w:kern w:val="2"/>
          <w:sz w:val="24"/>
        </w:rPr>
      </w:pPr>
      <w:r>
        <w:rPr>
          <w:rFonts w:hint="eastAsia" w:ascii="宋体" w:hAnsi="宋体" w:eastAsiaTheme="minorEastAsia"/>
          <w:b/>
          <w:bCs/>
          <w:color w:val="000000"/>
          <w:kern w:val="2"/>
          <w:sz w:val="24"/>
          <w:lang w:eastAsia="zh-CN"/>
        </w:rPr>
        <w:t>三、</w:t>
      </w:r>
      <w:r>
        <w:rPr>
          <w:rFonts w:hint="eastAsia" w:ascii="宋体" w:hAnsi="宋体" w:eastAsiaTheme="minorEastAsia"/>
          <w:color w:val="000000"/>
          <w:kern w:val="2"/>
          <w:sz w:val="24"/>
        </w:rPr>
        <w:t>本细则制订后，将在201</w:t>
      </w:r>
      <w:r>
        <w:rPr>
          <w:rFonts w:hint="eastAsia" w:ascii="宋体" w:hAnsi="宋体" w:eastAsiaTheme="minorEastAsia"/>
          <w:color w:val="000000"/>
          <w:kern w:val="2"/>
          <w:sz w:val="24"/>
          <w:lang w:val="en-US" w:eastAsia="zh-CN"/>
        </w:rPr>
        <w:t>8</w:t>
      </w:r>
      <w:r>
        <w:rPr>
          <w:rFonts w:hint="eastAsia" w:ascii="宋体" w:hAnsi="宋体" w:eastAsiaTheme="minorEastAsia"/>
          <w:color w:val="000000"/>
          <w:kern w:val="2"/>
          <w:sz w:val="24"/>
        </w:rPr>
        <w:t>年开始实行。本细则最终解释权归杭师大美术学院研究生奖学</w:t>
      </w:r>
      <w:r>
        <w:rPr>
          <w:rFonts w:hint="eastAsia" w:ascii="宋体" w:hAnsi="宋体" w:eastAsiaTheme="minorEastAsia"/>
          <w:color w:val="000000"/>
          <w:kern w:val="2"/>
          <w:sz w:val="24"/>
          <w:lang w:eastAsia="zh-CN"/>
        </w:rPr>
        <w:t>金评审委员会</w:t>
      </w:r>
      <w:bookmarkStart w:id="0" w:name="_GoBack"/>
      <w:bookmarkEnd w:id="0"/>
      <w:r>
        <w:rPr>
          <w:rFonts w:hint="eastAsia" w:ascii="宋体" w:hAnsi="宋体" w:eastAsiaTheme="minorEastAsia"/>
          <w:color w:val="000000"/>
          <w:kern w:val="2"/>
          <w:sz w:val="24"/>
        </w:rPr>
        <w:t>所有。</w:t>
      </w:r>
    </w:p>
    <w:p>
      <w:pPr>
        <w:widowControl w:val="0"/>
        <w:autoSpaceDN w:val="0"/>
        <w:adjustRightInd/>
        <w:snapToGrid/>
        <w:spacing w:after="0"/>
        <w:jc w:val="both"/>
        <w:textAlignment w:val="bottom"/>
        <w:rPr>
          <w:rFonts w:hint="eastAsia" w:ascii="宋体" w:hAnsi="宋体" w:eastAsiaTheme="minorEastAsia"/>
          <w:b/>
          <w:bCs/>
          <w:color w:val="000000"/>
          <w:kern w:val="2"/>
          <w:sz w:val="28"/>
          <w:szCs w:val="21"/>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4C3F2E"/>
    <w:rsid w:val="00704B56"/>
    <w:rsid w:val="008403A0"/>
    <w:rsid w:val="008B7726"/>
    <w:rsid w:val="00B7304E"/>
    <w:rsid w:val="00D31D50"/>
    <w:rsid w:val="00E70486"/>
    <w:rsid w:val="1ED27052"/>
    <w:rsid w:val="37E81038"/>
    <w:rsid w:val="4B1161A8"/>
    <w:rsid w:val="4C483667"/>
    <w:rsid w:val="50FD6620"/>
    <w:rsid w:val="7580764A"/>
    <w:rsid w:val="788B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spacing w:after="0" w:line="240" w:lineRule="auto"/>
    </w:pPr>
    <w:rPr>
      <w:rFonts w:eastAsia="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290</Words>
  <Characters>1656</Characters>
  <Lines>13</Lines>
  <Paragraphs>3</Paragraphs>
  <TotalTime>0</TotalTime>
  <ScaleCrop>false</ScaleCrop>
  <LinksUpToDate>false</LinksUpToDate>
  <CharactersWithSpaces>1943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AA</cp:lastModifiedBy>
  <dcterms:modified xsi:type="dcterms:W3CDTF">2018-10-10T04:59:01Z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