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jc w:val="center"/>
        <w:textAlignment w:val="bottom"/>
        <w:rPr>
          <w:rFonts w:ascii="宋体" w:hAnsi="宋体"/>
          <w:b/>
          <w:bCs/>
          <w:color w:val="000000"/>
          <w:sz w:val="32"/>
        </w:rPr>
      </w:pPr>
      <w:r>
        <w:rPr>
          <w:rFonts w:hint="eastAsia" w:ascii="宋体" w:hAnsi="宋体"/>
          <w:b/>
          <w:bCs/>
          <w:color w:val="000000"/>
          <w:sz w:val="32"/>
        </w:rPr>
        <w:t>美术学院研究生综合素质评定细则（</w:t>
      </w:r>
      <w:r>
        <w:rPr>
          <w:rFonts w:hint="eastAsia" w:ascii="宋体" w:hAnsi="宋体"/>
          <w:b/>
          <w:bCs/>
          <w:color w:val="000000"/>
          <w:sz w:val="32"/>
          <w:lang w:eastAsia="zh-CN"/>
        </w:rPr>
        <w:t>试行</w:t>
      </w:r>
      <w:r>
        <w:rPr>
          <w:rFonts w:hint="eastAsia" w:ascii="宋体" w:hAnsi="宋体"/>
          <w:b/>
          <w:bCs/>
          <w:color w:val="000000"/>
          <w:sz w:val="32"/>
        </w:rPr>
        <w:t>）</w:t>
      </w:r>
    </w:p>
    <w:p>
      <w:pPr>
        <w:autoSpaceDN w:val="0"/>
        <w:spacing w:line="360" w:lineRule="auto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一、评定对象：</w:t>
      </w:r>
    </w:p>
    <w:p>
      <w:pPr>
        <w:autoSpaceDN w:val="0"/>
        <w:spacing w:line="360" w:lineRule="auto"/>
        <w:ind w:left="48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全日制在校二、三年级研究生（包括学术型和专业学位）。</w:t>
      </w:r>
    </w:p>
    <w:p>
      <w:pPr>
        <w:autoSpaceDN w:val="0"/>
        <w:spacing w:line="360" w:lineRule="auto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二、支撑材料时效：</w:t>
      </w:r>
    </w:p>
    <w:p>
      <w:pPr>
        <w:autoSpaceDN w:val="0"/>
        <w:spacing w:line="360" w:lineRule="auto"/>
        <w:ind w:firstLine="470" w:firstLineChars="196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自上年9月1日至当年8月31日。</w:t>
      </w:r>
    </w:p>
    <w:p>
      <w:pPr>
        <w:autoSpaceDN w:val="0"/>
        <w:spacing w:line="360" w:lineRule="auto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三、等级评定及分值计算：</w:t>
      </w:r>
    </w:p>
    <w:p>
      <w:pPr>
        <w:autoSpaceDN w:val="0"/>
        <w:spacing w:line="360" w:lineRule="auto"/>
        <w:ind w:firstLine="480" w:firstLineChars="20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研究生综合素质评价内容为研究生在上一学年思想品德、学业水平、科研与创新创业、实践活动四个方面。按综合素质总分排序，40%优秀、40%良好，20%合格，若参评者有两项被评为“不合格”，则该年的综合素质成绩评定为“不合格”。</w:t>
      </w:r>
    </w:p>
    <w:p>
      <w:pPr>
        <w:autoSpaceDN w:val="0"/>
        <w:spacing w:line="360" w:lineRule="auto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FF0000"/>
          <w:sz w:val="22"/>
        </w:rPr>
        <w:t>综合素质分=思想品德*%15%+学业水平*10%+科研与创新创业*60%+实践活动*15%</w:t>
      </w:r>
    </w:p>
    <w:p>
      <w:pPr>
        <w:pStyle w:val="10"/>
        <w:numPr>
          <w:ilvl w:val="0"/>
          <w:numId w:val="1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思想品德</w:t>
      </w:r>
    </w:p>
    <w:p>
      <w:pPr>
        <w:autoSpaceDN w:val="0"/>
        <w:spacing w:line="360" w:lineRule="auto"/>
        <w:ind w:firstLine="480" w:firstLineChars="20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思想品德是对研究生思想政治、遵纪守法、集体意识、社会工作等方面表现的综合评价，</w:t>
      </w:r>
      <w:r>
        <w:rPr>
          <w:rFonts w:hint="eastAsia" w:ascii="宋体" w:hAnsi="宋体"/>
          <w:color w:val="FF0000"/>
          <w:sz w:val="24"/>
        </w:rPr>
        <w:t>基础分60分</w:t>
      </w:r>
      <w:r>
        <w:rPr>
          <w:rFonts w:hint="eastAsia" w:ascii="宋体" w:hAnsi="宋体"/>
          <w:color w:val="000000"/>
          <w:sz w:val="24"/>
        </w:rPr>
        <w:t>。</w:t>
      </w:r>
    </w:p>
    <w:tbl>
      <w:tblPr>
        <w:tblStyle w:val="7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283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类别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项目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分值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  <w:p>
            <w:pPr>
              <w:widowControl/>
              <w:jc w:val="left"/>
              <w:rPr>
                <w:rFonts w:eastAsia="宋体"/>
              </w:rPr>
            </w:pPr>
          </w:p>
          <w:p>
            <w:pPr>
              <w:widowControl/>
              <w:jc w:val="left"/>
              <w:rPr>
                <w:rFonts w:eastAsia="宋体"/>
              </w:rPr>
            </w:pPr>
          </w:p>
          <w:p>
            <w:pPr>
              <w:widowControl/>
              <w:jc w:val="left"/>
              <w:rPr>
                <w:rFonts w:eastAsia="宋体"/>
              </w:rPr>
            </w:pPr>
          </w:p>
          <w:p>
            <w:pPr>
              <w:widowControl/>
              <w:jc w:val="left"/>
              <w:rPr>
                <w:rFonts w:eastAsia="宋体"/>
              </w:rPr>
            </w:pPr>
          </w:p>
          <w:p>
            <w:pPr>
              <w:widowControl/>
              <w:jc w:val="left"/>
              <w:rPr>
                <w:rFonts w:eastAsia="宋体"/>
              </w:rPr>
            </w:pPr>
          </w:p>
          <w:p>
            <w:pPr>
              <w:widowControl/>
              <w:jc w:val="left"/>
              <w:rPr>
                <w:rFonts w:eastAsia="宋体"/>
              </w:rPr>
            </w:pPr>
          </w:p>
          <w:p>
            <w:pPr>
              <w:widowControl/>
              <w:jc w:val="left"/>
              <w:rPr>
                <w:rFonts w:eastAsia="宋体"/>
              </w:rPr>
            </w:pPr>
          </w:p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加分项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思想进取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思想政治表现突出、获得各级部门通报表彰表扬和党团先进个人荣誉称号。</w:t>
            </w:r>
          </w:p>
          <w:p>
            <w:pPr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国家级荣誉20分；</w:t>
            </w:r>
          </w:p>
          <w:p>
            <w:pPr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省级荣誉10分；</w:t>
            </w:r>
          </w:p>
          <w:p>
            <w:pPr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市级荣誉5分；</w:t>
            </w:r>
          </w:p>
          <w:p>
            <w:pPr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校级荣誉2分。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提供证书复印件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政治进步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学校思政论文竞赛获奖，5分。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学生工作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1.班长、团支书、党支部书记、研会主席、部长:</w:t>
            </w:r>
            <w:r>
              <w:rPr>
                <w:rFonts w:hint="eastAsia" w:eastAsia="Times New Roma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优秀4；良好3；一般2。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2.班委、党（团）支委、研会副部长：优秀3；良好2；一般1。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3.研会干事：优秀2；良好1；一般0。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Cs w:val="21"/>
              </w:rPr>
              <w:t>以上均为一年任期计算，若任期不满一年，则按50%折算计分；</w:t>
            </w:r>
          </w:p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Cs w:val="21"/>
              </w:rPr>
              <w:t>班委由不少于班级人数1/2的同学民主评议，研究生会干部由研会全体成员和指导老师进行评议。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297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参加文体竞赛和其他非科技活动竞赛及获奖</w:t>
            </w:r>
          </w:p>
        </w:tc>
        <w:tc>
          <w:tcPr>
            <w:tcW w:w="2835" w:type="dxa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1.参加文体比赛的同学，每届每项按照国家级、省级、市级、校级、学院级分别加6分、4分、3分、2分、1分。球类比赛每届参赛场次超过4场者，超出部分按每场另加1分计算。</w:t>
            </w:r>
          </w:p>
          <w:p>
            <w:pPr>
              <w:pStyle w:val="2"/>
              <w:adjustRightInd w:val="0"/>
              <w:snapToGrid w:val="0"/>
              <w:spacing w:line="440" w:lineRule="exac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2.在文艺竞赛中获得名次的演出者，按照校级特等、一、二、三等奖和鼓励奖分别加5、4、3、2、1分；市级的获奖者按校级的1.5倍计分；省级的获奖者按校级的2倍计分；国家级的获奖者按校级的3倍计分；学院级的获奖按校级的0.5倍计分。</w:t>
            </w: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该项累计得分不超过15分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297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参加学校学院组织的各类研究生集体活动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both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Cs w:val="21"/>
              </w:rPr>
              <w:t>每次加1分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both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以签到表为准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297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积极参加各类志愿者服务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Cs w:val="21"/>
              </w:rPr>
              <w:t>按照志愿者服务时数计算，每服务10小时加1分。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both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不满10小时不加分，志愿时数以学院彩虹志愿者协会公布数据为准，校外志愿活动需提供主办单位盖章的证明文件。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297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文明寝室</w:t>
            </w:r>
          </w:p>
        </w:tc>
        <w:tc>
          <w:tcPr>
            <w:tcW w:w="2835" w:type="dxa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Cs w:val="21"/>
              </w:rPr>
              <w:t>寝室检查优秀寝室每次每人加0.5分。</w:t>
            </w:r>
          </w:p>
        </w:tc>
        <w:tc>
          <w:tcPr>
            <w:tcW w:w="1843" w:type="dxa"/>
          </w:tcPr>
          <w:p>
            <w:pPr>
              <w:widowControl/>
              <w:jc w:val="left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297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特殊经历</w:t>
            </w:r>
          </w:p>
        </w:tc>
        <w:tc>
          <w:tcPr>
            <w:tcW w:w="2835" w:type="dxa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有自强不息、见义勇为、应征入伍等突出事迹，影响广泛，思想品德类满分。</w:t>
            </w:r>
          </w:p>
        </w:tc>
        <w:tc>
          <w:tcPr>
            <w:tcW w:w="1843" w:type="dxa"/>
          </w:tcPr>
          <w:p>
            <w:pPr>
              <w:widowControl/>
              <w:jc w:val="left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减分项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both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担任各级学生干部者，未按时完成任务，或无故中途退出者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—4分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both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在文明寝室建设中表现差，卫生检查不合格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学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校、学院寝室内务检查中，被评为较差寝室的，该寝室成员每人分别扣1分。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该项得分为—10分，“思想品德”评定为</w:t>
            </w:r>
            <w:r>
              <w:rPr>
                <w:rFonts w:hint="eastAsia" w:ascii="仿宋" w:hAnsi="仿宋" w:eastAsia="仿宋"/>
                <w:color w:val="FF0000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both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在寝室使用大功率电器、饲养宠物。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查处一次扣3分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both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查处两次</w:t>
            </w:r>
            <w:r>
              <w:rPr>
                <w:rFonts w:hint="eastAsia" w:ascii="仿宋" w:hAnsi="仿宋" w:eastAsia="仿宋"/>
              </w:rPr>
              <w:t>“思想品德”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评定为</w:t>
            </w:r>
            <w:r>
              <w:rPr>
                <w:rFonts w:hint="eastAsia" w:ascii="仿宋_GB2312" w:hAnsi="宋体" w:eastAsia="仿宋_GB2312"/>
                <w:color w:val="FF0000"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both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受到学校、学院通报批评或纪律处分。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napToGrid w:val="0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</w:rPr>
              <w:t>“思想品德”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评定为</w:t>
            </w:r>
            <w:r>
              <w:rPr>
                <w:rFonts w:hint="eastAsia" w:ascii="仿宋_GB2312" w:hAnsi="宋体" w:eastAsia="仿宋_GB2312"/>
                <w:color w:val="FF0000"/>
                <w:szCs w:val="21"/>
              </w:rPr>
              <w:t>不合格</w:t>
            </w:r>
            <w:r>
              <w:rPr>
                <w:rFonts w:hint="eastAsia" w:ascii="仿宋_GB2312" w:hAnsi="宋体" w:eastAsia="仿宋_GB2312"/>
                <w:color w:val="FF0000"/>
                <w:szCs w:val="21"/>
                <w:lang w:eastAsia="zh-CN"/>
              </w:rPr>
              <w:t>，奖学金一票否决</w:t>
            </w:r>
          </w:p>
        </w:tc>
      </w:tr>
    </w:tbl>
    <w:p/>
    <w:p>
      <w:pPr>
        <w:pStyle w:val="10"/>
        <w:numPr>
          <w:ilvl w:val="0"/>
          <w:numId w:val="1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学业水平</w:t>
      </w:r>
    </w:p>
    <w:p>
      <w:pPr>
        <w:autoSpaceDN w:val="0"/>
        <w:spacing w:line="360" w:lineRule="auto"/>
        <w:ind w:firstLine="480" w:firstLineChars="20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学业水平是对研究生的学习态度、学习成绩等方面的综合评价。</w:t>
      </w:r>
    </w:p>
    <w:p>
      <w:pPr>
        <w:autoSpaceDN w:val="0"/>
        <w:spacing w:line="360" w:lineRule="auto"/>
        <w:jc w:val="left"/>
        <w:textAlignment w:val="bottom"/>
        <w:rPr>
          <w:rFonts w:ascii="宋体" w:hAnsi="宋体"/>
          <w:b/>
          <w:color w:val="000000"/>
          <w:sz w:val="24"/>
        </w:rPr>
      </w:pPr>
    </w:p>
    <w:tbl>
      <w:tblPr>
        <w:tblStyle w:val="7"/>
        <w:tblW w:w="97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048"/>
        <w:gridCol w:w="1975"/>
        <w:gridCol w:w="1975"/>
        <w:gridCol w:w="3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类别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年级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项目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分值</w:t>
            </w:r>
          </w:p>
        </w:tc>
        <w:tc>
          <w:tcPr>
            <w:tcW w:w="3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45" w:type="dxa"/>
            <w:vMerge w:val="restart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加分项</w:t>
            </w:r>
          </w:p>
        </w:tc>
        <w:tc>
          <w:tcPr>
            <w:tcW w:w="1048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研二</w:t>
            </w:r>
          </w:p>
        </w:tc>
        <w:tc>
          <w:tcPr>
            <w:tcW w:w="1975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上学年两学期政治、英语（日语）</w:t>
            </w:r>
          </w:p>
        </w:tc>
        <w:tc>
          <w:tcPr>
            <w:tcW w:w="1975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两者平均分</w:t>
            </w:r>
          </w:p>
        </w:tc>
        <w:tc>
          <w:tcPr>
            <w:tcW w:w="3839" w:type="dxa"/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英语免修同学只计算政治平均成绩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45" w:type="dxa"/>
            <w:vMerge w:val="continue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</w:p>
        </w:tc>
        <w:tc>
          <w:tcPr>
            <w:tcW w:w="1048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研三</w:t>
            </w:r>
          </w:p>
        </w:tc>
        <w:tc>
          <w:tcPr>
            <w:tcW w:w="1975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毕业论文开题</w:t>
            </w:r>
          </w:p>
        </w:tc>
        <w:tc>
          <w:tcPr>
            <w:tcW w:w="1975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开题报告答辩一次通过100分；</w:t>
            </w:r>
          </w:p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二次通过60分。</w:t>
            </w:r>
          </w:p>
        </w:tc>
        <w:tc>
          <w:tcPr>
            <w:tcW w:w="3839" w:type="dxa"/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毕业研究生省优、校优评选时：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hint="eastAsia" w:ascii="仿宋_GB2312" w:hAnsi="宋体" w:eastAsia="仿宋_GB2312"/>
                <w:b/>
                <w:color w:val="000000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  <w:u w:val="single"/>
              </w:rPr>
              <w:t>凡出现两个C即取消评比资格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hint="eastAsia" w:ascii="仿宋_GB2312" w:hAnsi="宋体" w:eastAsia="仿宋_GB2312"/>
                <w:b/>
                <w:color w:val="000000"/>
                <w:szCs w:val="21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/>
                <w:szCs w:val="21"/>
                <w:u w:val="none"/>
                <w:lang w:eastAsia="zh-CN"/>
              </w:rPr>
              <w:t>两年制学生评选优秀毕业生时参照此项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45" w:type="dxa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减分项</w:t>
            </w:r>
          </w:p>
        </w:tc>
        <w:tc>
          <w:tcPr>
            <w:tcW w:w="1048" w:type="dxa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75" w:type="dxa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补考、旷课</w:t>
            </w:r>
          </w:p>
        </w:tc>
        <w:tc>
          <w:tcPr>
            <w:tcW w:w="1975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补考一次减5分；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旷课一次减3分。</w:t>
            </w:r>
          </w:p>
        </w:tc>
        <w:tc>
          <w:tcPr>
            <w:tcW w:w="3839" w:type="dxa"/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必修课成绩不合格或一年内旷课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10学时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及以上，“学业水平”评定为</w:t>
            </w:r>
            <w:r>
              <w:rPr>
                <w:rFonts w:hint="eastAsia" w:ascii="仿宋_GB2312" w:hAnsi="宋体" w:eastAsia="仿宋_GB2312"/>
                <w:color w:val="FF0000"/>
                <w:szCs w:val="21"/>
              </w:rPr>
              <w:t>不合格</w:t>
            </w:r>
            <w:r>
              <w:rPr>
                <w:rFonts w:hint="eastAsia" w:ascii="仿宋_GB2312" w:hAnsi="宋体" w:eastAsia="仿宋_GB2312"/>
                <w:color w:val="FF0000"/>
                <w:szCs w:val="21"/>
                <w:lang w:eastAsia="zh-CN"/>
              </w:rPr>
              <w:t>，奖学金一票否决</w:t>
            </w:r>
          </w:p>
        </w:tc>
      </w:tr>
    </w:tbl>
    <w:p/>
    <w:p/>
    <w:p>
      <w:pPr>
        <w:pStyle w:val="10"/>
        <w:numPr>
          <w:ilvl w:val="0"/>
          <w:numId w:val="1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科研与创新创业 </w:t>
      </w:r>
    </w:p>
    <w:p>
      <w:pPr>
        <w:autoSpaceDN w:val="0"/>
        <w:spacing w:line="360" w:lineRule="auto"/>
        <w:ind w:firstLine="480" w:firstLineChars="20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科研与</w:t>
      </w:r>
      <w:r>
        <w:rPr>
          <w:rFonts w:ascii="宋体" w:hAnsi="宋体"/>
          <w:color w:val="000000"/>
          <w:sz w:val="24"/>
        </w:rPr>
        <w:t>创新创业是对研究生发表论文、专著，获得科研课题，取得学科竞赛奖项，成功创业等方面的综合评价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hint="eastAsia" w:ascii="宋体" w:hAnsi="宋体"/>
          <w:color w:val="FF0000"/>
          <w:sz w:val="24"/>
        </w:rPr>
        <w:t>基础分60分</w:t>
      </w:r>
      <w:r>
        <w:rPr>
          <w:rFonts w:ascii="宋体" w:hAnsi="宋体"/>
          <w:color w:val="000000"/>
          <w:sz w:val="24"/>
        </w:rPr>
        <w:t>。</w:t>
      </w:r>
    </w:p>
    <w:tbl>
      <w:tblPr>
        <w:tblStyle w:val="7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1"/>
        <w:gridCol w:w="142"/>
        <w:gridCol w:w="1417"/>
        <w:gridCol w:w="71"/>
        <w:gridCol w:w="1205"/>
        <w:gridCol w:w="142"/>
        <w:gridCol w:w="284"/>
        <w:gridCol w:w="1984"/>
        <w:gridCol w:w="142"/>
        <w:gridCol w:w="142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类别</w:t>
            </w: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科研成果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分值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论文类、参著类、参编类</w:t>
            </w: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权威期刊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50</w:t>
            </w:r>
          </w:p>
        </w:tc>
        <w:tc>
          <w:tcPr>
            <w:tcW w:w="21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both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期刊名录参照</w:t>
            </w:r>
            <w:r>
              <w:rPr>
                <w:rFonts w:hint="eastAsia" w:ascii="仿宋_GB2312" w:hAnsi="宋体" w:eastAsia="仿宋_GB2312"/>
                <w:color w:val="FF0000"/>
                <w:szCs w:val="21"/>
              </w:rPr>
              <w:t>《杭州师范大学人文社会科学类学术期刊定级标准（2015年版）》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，增刊减半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一级期刊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20</w:t>
            </w:r>
          </w:p>
        </w:tc>
        <w:tc>
          <w:tcPr>
            <w:tcW w:w="21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二级期刊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10</w:t>
            </w:r>
          </w:p>
        </w:tc>
        <w:tc>
          <w:tcPr>
            <w:tcW w:w="212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杭州师范大学学报[社科版]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15</w:t>
            </w:r>
          </w:p>
        </w:tc>
        <w:tc>
          <w:tcPr>
            <w:tcW w:w="21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增刊减半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其他普通期刊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</w:t>
            </w:r>
          </w:p>
        </w:tc>
        <w:tc>
          <w:tcPr>
            <w:tcW w:w="212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人大复印资料全文转载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20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高等学校文科全文转载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15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各类论文集入选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1．定期召开（届）的全国及国际学术研讨会入选，10-30；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2．省级及其他一般性冠以“全国”及“国际”的学术研讨会入选，5-10；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3．其他一般论文集，2。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定期召开（届）的全国及国际学术研讨会，指省部级（含）以上政府部门或国家级协会（一级学会）及国际知名学术机构等主办的有行业（学术）影响的会议。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参与著作撰稿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5/万字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正式出版，且书中体现作者姓名。国家重点图书出版规划项目，1.5倍计算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参与教材、编著编写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3/万字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正式出版，且书中体现作者姓名。省部级以上规划教材，加倍计算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说明：</w:t>
            </w:r>
          </w:p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【1】两位作者合作发表论文，第一作者×0.6，第二作者×0.4。</w:t>
            </w:r>
          </w:p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【2】三位及以上作者合作发表论文，第一作者×0.5，第二作者×0.3，第三作者×0.2，第四作者以下均只得×0.1。</w:t>
            </w:r>
          </w:p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【3】若导师为论文合作者，第一作者为学生，则加全分；第一作者为导师，则第二作者×0.4，第三作者×0.3，第四及以后作者×0.2。</w:t>
            </w:r>
          </w:p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【4】录用通知在评选各类奖学金时只作参考不折算分数，评选优秀毕业生时减半计算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Cs w:val="21"/>
              </w:rPr>
              <w:t>。</w:t>
            </w:r>
          </w:p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【5】作者第一署名单位须为杭州师范大学。</w:t>
            </w:r>
          </w:p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【6】论文字数＜3000字，或论文版面在一个版面以内的，分数×1/3。</w:t>
            </w:r>
          </w:p>
          <w:p>
            <w:pPr>
              <w:autoSpaceDN w:val="0"/>
              <w:snapToGrid w:val="0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【7】参撰、参编只计算学生本人完成工作量，以出版物标注或出版社证明为准。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类别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科研成果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分值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8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展览、艺术类比赛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国家级展览、评奖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特等30；一等20；二等15；三等10；入展、入选8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1.各级别名录参照</w:t>
            </w:r>
            <w:r>
              <w:rPr>
                <w:rFonts w:hint="eastAsia" w:ascii="仿宋_GB2312" w:hAnsi="宋体" w:eastAsia="仿宋_GB2312"/>
                <w:color w:val="FF0000"/>
                <w:szCs w:val="21"/>
              </w:rPr>
              <w:t>《杭州师范大学艺术类成果认定指导意见》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；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2．无等级的奖项按该级别的二等奖核算；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3.特等奖不是唯一奖项的，按该级别的一等奖核算；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4.同一作品多次获奖，就最高分值计算。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省部级展览、评奖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特等15；一等12；二等8；三等5；入展、入选3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市厅级展览、评奖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特等8；一等5；二等3；三等2；入展、入选1</w:t>
            </w: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校级（学院新篁杯）展览、评奖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特等4；一等3；二等2；三等1；优秀奖或入展、入选0.5</w:t>
            </w: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38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其他各单位部门、各级各类组织展览、评奖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highlight w:val="none"/>
              </w:rPr>
              <w:t>获奖1；入展、入选0.5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累计加分不超过4分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学科竞赛类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一类竞赛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国家级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特等30；一等20；二等15；三等10；优秀（鼓励）奖8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1.各类竞赛名录参照</w:t>
            </w:r>
            <w:r>
              <w:rPr>
                <w:rFonts w:hint="eastAsia" w:ascii="仿宋_GB2312" w:hAnsi="宋体" w:eastAsia="仿宋_GB2312"/>
                <w:color w:val="FF0000"/>
                <w:szCs w:val="21"/>
              </w:rPr>
              <w:t>《2016年度杭州师范大学学科竞赛项目一览表》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；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2.特等奖不是唯一奖项的，按该级别的一等奖核算；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3.同一作品参赛获奖的，就最高分值计算；</w:t>
            </w:r>
          </w:p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4.非官方的国家级比赛，未经省赛选拔而获奖的，按省级获奖加分。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省级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特等15；一等12；二等8；三等5；优秀（鼓励）奖3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校级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特等4；一等3；二等2；三等1；优秀（鼓励）奖0.5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二类竞赛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国家级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特等15；一等12；二等8；三等5；优秀（鼓励）奖3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省级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特等8；一等5；二等3；三等2；优秀（鼓励）奖1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三类竞赛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国家级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特等8；一等5；二等3；三等2；优秀（鼓励）奖1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省级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特等4；一等3；二等2；三等1；优秀（鼓励）奖0.5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说明：</w:t>
            </w:r>
          </w:p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【1】非本研究方向的相关成果，按原档次分数的60%折算计入；非本一级学科内的相关成果，按原档次分数的30%折算计入；若为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学科竞赛或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教育系统（教育部、各高等院校）举办的竞赛，则100%计算分数。</w:t>
            </w:r>
          </w:p>
          <w:p>
            <w:pPr>
              <w:autoSpaceDN w:val="0"/>
              <w:snapToGrid w:val="0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【2】合作获奖成果，得分按位次核算权重加分，按排名顺序依次为50%、40%、30%、20%、10%、5%。排名以获奖证书署名或有效文件公布排名为准。</w:t>
            </w:r>
          </w:p>
          <w:p>
            <w:pPr>
              <w:autoSpaceDN w:val="0"/>
              <w:snapToGrid w:val="0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】国际展览赛事的加分等级，由学院研究生奖学金评审委员会裁定。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类别</w:t>
            </w:r>
          </w:p>
        </w:tc>
        <w:tc>
          <w:tcPr>
            <w:tcW w:w="32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科研成果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分值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课题、项目类</w:t>
            </w:r>
          </w:p>
        </w:tc>
        <w:tc>
          <w:tcPr>
            <w:tcW w:w="32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国家级课题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100</w:t>
            </w:r>
          </w:p>
        </w:tc>
        <w:tc>
          <w:tcPr>
            <w:tcW w:w="226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1.课题主持人按对应分值核算，参与成员按位次核算权重加分，依次为25%、20%、15%、10%、5%、2.5%；</w:t>
            </w:r>
          </w:p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22.课题组排名，以加盖公章的申报书（立项书）或结题证书署名（排名）为准。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32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省部级课题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50</w:t>
            </w:r>
          </w:p>
        </w:tc>
        <w:tc>
          <w:tcPr>
            <w:tcW w:w="22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32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市厅级课题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20</w:t>
            </w:r>
          </w:p>
        </w:tc>
        <w:tc>
          <w:tcPr>
            <w:tcW w:w="22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32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校级课题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10</w:t>
            </w:r>
          </w:p>
        </w:tc>
        <w:tc>
          <w:tcPr>
            <w:tcW w:w="22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63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创新创业立项</w:t>
            </w:r>
          </w:p>
        </w:tc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国家级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63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省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级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63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市级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24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  <w:tc>
          <w:tcPr>
            <w:tcW w:w="163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校级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Cs w:val="21"/>
              </w:rPr>
            </w:pPr>
          </w:p>
        </w:tc>
      </w:tr>
    </w:tbl>
    <w:p>
      <w:pPr>
        <w:pStyle w:val="10"/>
        <w:autoSpaceDN w:val="0"/>
        <w:spacing w:line="360" w:lineRule="auto"/>
        <w:ind w:left="360" w:firstLine="0" w:firstLineChars="0"/>
        <w:jc w:val="left"/>
        <w:textAlignment w:val="bottom"/>
        <w:rPr>
          <w:rFonts w:ascii="宋体" w:hAnsi="宋体"/>
          <w:b/>
          <w:color w:val="000000"/>
          <w:sz w:val="24"/>
        </w:rPr>
      </w:pPr>
    </w:p>
    <w:p>
      <w:pPr>
        <w:pStyle w:val="10"/>
        <w:numPr>
          <w:ilvl w:val="0"/>
          <w:numId w:val="1"/>
        </w:numPr>
        <w:autoSpaceDN w:val="0"/>
        <w:spacing w:line="360" w:lineRule="auto"/>
        <w:ind w:firstLineChars="0"/>
        <w:jc w:val="left"/>
        <w:textAlignment w:val="bottom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实践活动</w:t>
      </w:r>
    </w:p>
    <w:p>
      <w:pPr>
        <w:autoSpaceDN w:val="0"/>
        <w:spacing w:line="360" w:lineRule="auto"/>
        <w:ind w:firstLine="480" w:firstLineChars="200"/>
        <w:jc w:val="left"/>
        <w:textAlignment w:val="bottom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实践活动是对研究生学术实践、教学实践、社会 实践等方面表现的综合评价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hint="eastAsia" w:ascii="宋体" w:hAnsi="宋体"/>
          <w:color w:val="FF0000"/>
          <w:sz w:val="24"/>
        </w:rPr>
        <w:t>基础分60分</w:t>
      </w:r>
      <w:r>
        <w:rPr>
          <w:rFonts w:hint="eastAsia" w:ascii="宋体" w:hAnsi="宋体"/>
          <w:color w:val="000000"/>
          <w:sz w:val="24"/>
        </w:rPr>
        <w:t>。</w:t>
      </w:r>
    </w:p>
    <w:tbl>
      <w:tblPr>
        <w:tblStyle w:val="7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255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类别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项目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分值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学术实践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参加校内学术报告及讲座。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0.5分/次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以学术积分卡记录为准。此类累计最高不超过10分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参加学术会议、论坛等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3分/次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需提供参会回执或邀请函等相关证明材料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在规范的学术会议或论坛上发表学术演讲。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10分/次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同一会议论坛、或同一篇论文演讲的只计一次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，需提供证明材料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参加学校研究生“三助一辅”等工作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5分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需任期满一年且考核合格，若任期不满一年的减半加分，考核不合格的不加分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参加国内外专业工作坊学习、人才培训计划获结业证书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8分/次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需提供结业证书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autoSpaceDN w:val="0"/>
              <w:spacing w:line="360" w:lineRule="auto"/>
              <w:jc w:val="center"/>
              <w:textAlignment w:val="bottom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社会实践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申报学校研究生暑期社会实践立项或寒暑假交流访学项目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5分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实践负责人按对应分值核算，团队成员减半加分。</w:t>
            </w:r>
            <w:r>
              <w:rPr>
                <w:rFonts w:hint="eastAsia" w:ascii="仿宋" w:hAnsi="仿宋" w:eastAsia="仿宋"/>
              </w:rPr>
              <w:t>评为优秀另加2分</w:t>
            </w:r>
            <w:r>
              <w:rPr>
                <w:rFonts w:hint="eastAsia" w:ascii="仿宋" w:hAnsi="仿宋" w:eastAsia="仿宋"/>
                <w:lang w:val="en-US" w:eastAsia="zh-CN"/>
              </w:rPr>
              <w:t>/1分。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restart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/>
                <w:color w:val="00000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 w:val="24"/>
                <w:szCs w:val="20"/>
              </w:rPr>
              <w:t>减分项</w:t>
            </w:r>
          </w:p>
        </w:tc>
        <w:tc>
          <w:tcPr>
            <w:tcW w:w="2976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无故不参加学院安排的学术活动。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—1分/次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ascii="仿宋" w:hAnsi="仿宋" w:eastAsia="仿宋"/>
              </w:rPr>
              <w:t>该项得分累计为—5分，“实践活动”评定为</w:t>
            </w:r>
            <w:r>
              <w:rPr>
                <w:rFonts w:hint="eastAsia" w:ascii="仿宋" w:hAnsi="仿宋" w:eastAsia="仿宋"/>
                <w:color w:val="FF0000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无故不完成社会实践任务。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仿宋" w:hAnsi="仿宋" w:eastAsia="仿宋"/>
              </w:rPr>
              <w:t>—1分/次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01" w:type="dxa"/>
            <w:vMerge w:val="continue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b/>
                <w:color w:val="000000"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utoSpaceDN w:val="0"/>
              <w:snapToGrid w:val="0"/>
              <w:jc w:val="center"/>
              <w:textAlignment w:val="bottom"/>
              <w:rPr>
                <w:rFonts w:ascii="仿宋_GB2312" w:hAnsi="宋体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鉴定确认剽窃他人学术成果或非法转让技术成果等。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N w:val="0"/>
              <w:snapToGrid w:val="0"/>
              <w:jc w:val="left"/>
              <w:textAlignment w:val="bottom"/>
              <w:rPr>
                <w:rFonts w:hint="eastAsia" w:ascii="仿宋_GB2312" w:hAnsi="宋体" w:eastAsia="仿宋_GB2312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“实践活动”评定为</w:t>
            </w:r>
            <w:r>
              <w:rPr>
                <w:rFonts w:hint="eastAsia" w:ascii="仿宋_GB2312" w:hAnsi="宋体" w:eastAsia="仿宋_GB2312"/>
                <w:color w:val="FF0000"/>
                <w:szCs w:val="21"/>
              </w:rPr>
              <w:t>不合格</w:t>
            </w:r>
            <w:r>
              <w:rPr>
                <w:rFonts w:hint="eastAsia" w:ascii="仿宋_GB2312" w:hAnsi="宋体" w:eastAsia="仿宋_GB2312"/>
                <w:color w:val="FF0000"/>
                <w:szCs w:val="21"/>
                <w:lang w:eastAsia="zh-CN"/>
              </w:rPr>
              <w:t>，奖学金一票否决</w:t>
            </w:r>
          </w:p>
        </w:tc>
      </w:tr>
    </w:tbl>
    <w:p/>
    <w:p>
      <w:pPr>
        <w:autoSpaceDN w:val="0"/>
        <w:spacing w:line="360" w:lineRule="auto"/>
        <w:jc w:val="left"/>
        <w:textAlignment w:val="bottom"/>
        <w:rPr>
          <w:rFonts w:hint="eastAsia" w:ascii="宋体" w:hAnsi="宋体" w:eastAsiaTheme="minorEastAsia"/>
          <w:b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lang w:eastAsia="zh-CN"/>
        </w:rPr>
        <w:t>四、</w:t>
      </w:r>
      <w:r>
        <w:rPr>
          <w:rFonts w:hint="eastAsia" w:ascii="宋体" w:hAnsi="宋体" w:eastAsiaTheme="minorEastAsia"/>
          <w:color w:val="000000"/>
          <w:kern w:val="2"/>
          <w:sz w:val="24"/>
        </w:rPr>
        <w:t>本细则制订后，将在201</w:t>
      </w:r>
      <w:r>
        <w:rPr>
          <w:rFonts w:hint="eastAsia" w:ascii="宋体" w:hAnsi="宋体" w:eastAsiaTheme="minorEastAsia"/>
          <w:color w:val="000000"/>
          <w:kern w:val="2"/>
          <w:sz w:val="24"/>
          <w:lang w:val="en-US" w:eastAsia="zh-CN"/>
        </w:rPr>
        <w:t>8</w:t>
      </w:r>
      <w:r>
        <w:rPr>
          <w:rFonts w:hint="eastAsia" w:ascii="宋体" w:hAnsi="宋体" w:eastAsiaTheme="minorEastAsia"/>
          <w:color w:val="000000"/>
          <w:kern w:val="2"/>
          <w:sz w:val="24"/>
        </w:rPr>
        <w:t>年开始实行。本细则最终解释权归杭师大美术学院研究生奖学金</w:t>
      </w:r>
      <w:r>
        <w:rPr>
          <w:rFonts w:hint="eastAsia" w:ascii="宋体" w:hAnsi="宋体"/>
          <w:color w:val="000000"/>
          <w:kern w:val="2"/>
          <w:sz w:val="24"/>
          <w:lang w:eastAsia="zh-CN"/>
        </w:rPr>
        <w:t>评审委员会</w:t>
      </w:r>
      <w:r>
        <w:rPr>
          <w:rFonts w:hint="eastAsia" w:ascii="宋体" w:hAnsi="宋体" w:eastAsiaTheme="minorEastAsia"/>
          <w:color w:val="000000"/>
          <w:kern w:val="2"/>
          <w:sz w:val="24"/>
        </w:rPr>
        <w:t>所有。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6E48"/>
    <w:multiLevelType w:val="multilevel"/>
    <w:tmpl w:val="0B5C6E4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A38"/>
    <w:rsid w:val="00024F69"/>
    <w:rsid w:val="00042C14"/>
    <w:rsid w:val="000D50E2"/>
    <w:rsid w:val="00112680"/>
    <w:rsid w:val="00126078"/>
    <w:rsid w:val="00175E54"/>
    <w:rsid w:val="0019764F"/>
    <w:rsid w:val="002130B1"/>
    <w:rsid w:val="002B54D4"/>
    <w:rsid w:val="002D633A"/>
    <w:rsid w:val="004004A7"/>
    <w:rsid w:val="00430397"/>
    <w:rsid w:val="0044537E"/>
    <w:rsid w:val="004A5932"/>
    <w:rsid w:val="004E2121"/>
    <w:rsid w:val="0052186F"/>
    <w:rsid w:val="00597B52"/>
    <w:rsid w:val="005B6129"/>
    <w:rsid w:val="005F66E7"/>
    <w:rsid w:val="006F48AE"/>
    <w:rsid w:val="00703647"/>
    <w:rsid w:val="00715CED"/>
    <w:rsid w:val="00757631"/>
    <w:rsid w:val="00767B57"/>
    <w:rsid w:val="00772ED8"/>
    <w:rsid w:val="00783F89"/>
    <w:rsid w:val="007D4F56"/>
    <w:rsid w:val="007E01A0"/>
    <w:rsid w:val="008330A7"/>
    <w:rsid w:val="00840FB0"/>
    <w:rsid w:val="008E569B"/>
    <w:rsid w:val="00936C73"/>
    <w:rsid w:val="009470EC"/>
    <w:rsid w:val="009811CC"/>
    <w:rsid w:val="00A21C57"/>
    <w:rsid w:val="00A23F1B"/>
    <w:rsid w:val="00BB1299"/>
    <w:rsid w:val="00C9347A"/>
    <w:rsid w:val="00D111C4"/>
    <w:rsid w:val="00D20973"/>
    <w:rsid w:val="00D30D6B"/>
    <w:rsid w:val="00DA0A38"/>
    <w:rsid w:val="00DA44AA"/>
    <w:rsid w:val="00DB05CF"/>
    <w:rsid w:val="00DC0B58"/>
    <w:rsid w:val="00E01545"/>
    <w:rsid w:val="00E0597A"/>
    <w:rsid w:val="00E10E97"/>
    <w:rsid w:val="00EA4CCD"/>
    <w:rsid w:val="00F07FB8"/>
    <w:rsid w:val="00FD3D2F"/>
    <w:rsid w:val="024D63B4"/>
    <w:rsid w:val="06290C73"/>
    <w:rsid w:val="20744A7A"/>
    <w:rsid w:val="2B567F1C"/>
    <w:rsid w:val="2D444F70"/>
    <w:rsid w:val="3BFD5C6A"/>
    <w:rsid w:val="4DA242C8"/>
    <w:rsid w:val="616E6D5F"/>
    <w:rsid w:val="7D4A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rPr>
      <w:rFonts w:ascii="Times New Roman" w:hAnsi="Times New Roman" w:eastAsia="宋体" w:cs="Times New Roman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11">
    <w:name w:val="正文文本 Char"/>
    <w:basedOn w:val="5"/>
    <w:link w:val="2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579</Words>
  <Characters>3305</Characters>
  <Lines>27</Lines>
  <Paragraphs>7</Paragraphs>
  <TotalTime>18</TotalTime>
  <ScaleCrop>false</ScaleCrop>
  <LinksUpToDate>false</LinksUpToDate>
  <CharactersWithSpaces>3877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2018-01-07T10:05:00Z</dcterms:created>
  <dc:creator>ASUS</dc:creator>
  <cp:lastModifiedBy>AA</cp:lastModifiedBy>
  <dcterms:modified xsi:type="dcterms:W3CDTF">2018-10-10T04:58:06Z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