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A7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28"/>
          <w:szCs w:val="36"/>
        </w:rPr>
      </w:pPr>
      <w:r>
        <w:rPr>
          <w:rFonts w:hint="eastAsia"/>
          <w:b/>
          <w:bCs/>
          <w:sz w:val="28"/>
          <w:szCs w:val="36"/>
        </w:rPr>
        <w:t>美术学院研究生新生奖学金评选细则</w:t>
      </w:r>
    </w:p>
    <w:p w14:paraId="395269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2A2C35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24"/>
          <w:szCs w:val="32"/>
        </w:rPr>
      </w:pPr>
      <w:r>
        <w:rPr>
          <w:rFonts w:hint="eastAsia"/>
          <w:sz w:val="24"/>
          <w:szCs w:val="32"/>
        </w:rPr>
        <w:t>一、评定对象</w:t>
      </w:r>
    </w:p>
    <w:p w14:paraId="10AE66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24"/>
          <w:szCs w:val="32"/>
        </w:rPr>
      </w:pPr>
      <w:r>
        <w:rPr>
          <w:rFonts w:hint="eastAsia"/>
          <w:sz w:val="24"/>
          <w:szCs w:val="32"/>
        </w:rPr>
        <w:t>全日制在校一年级研究生（包括学术学位和专业学位）。</w:t>
      </w:r>
    </w:p>
    <w:p w14:paraId="64B20D3C">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sz w:val="24"/>
          <w:szCs w:val="32"/>
        </w:rPr>
      </w:pPr>
      <w:r>
        <w:rPr>
          <w:rFonts w:hint="eastAsia"/>
          <w:sz w:val="24"/>
          <w:szCs w:val="32"/>
        </w:rPr>
        <w:t>奖项名称及评定要求</w:t>
      </w:r>
    </w:p>
    <w:tbl>
      <w:tblPr>
        <w:tblStyle w:val="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2160"/>
        <w:gridCol w:w="2808"/>
        <w:gridCol w:w="1116"/>
        <w:gridCol w:w="1488"/>
      </w:tblGrid>
      <w:tr w14:paraId="01A5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6118C89F">
            <w:pPr>
              <w:numPr>
                <w:ilvl w:val="0"/>
                <w:numId w:val="0"/>
              </w:numPr>
              <w:jc w:val="center"/>
              <w:rPr>
                <w:rFonts w:hint="eastAsia" w:eastAsiaTheme="minorEastAsia"/>
                <w:vertAlign w:val="baseline"/>
                <w:lang w:val="en-US" w:eastAsia="zh-CN"/>
              </w:rPr>
            </w:pPr>
            <w:r>
              <w:rPr>
                <w:rFonts w:hint="eastAsia"/>
                <w:vertAlign w:val="baseline"/>
                <w:lang w:val="en-US" w:eastAsia="zh-CN"/>
              </w:rPr>
              <w:t>学业奖学金</w:t>
            </w:r>
          </w:p>
        </w:tc>
        <w:tc>
          <w:tcPr>
            <w:tcW w:w="2160" w:type="dxa"/>
            <w:vAlign w:val="center"/>
          </w:tcPr>
          <w:p w14:paraId="2DAC23E6">
            <w:pPr>
              <w:numPr>
                <w:ilvl w:val="0"/>
                <w:numId w:val="0"/>
              </w:numPr>
              <w:jc w:val="center"/>
              <w:rPr>
                <w:rFonts w:hint="eastAsia" w:eastAsiaTheme="minorEastAsia"/>
                <w:vertAlign w:val="baseline"/>
                <w:lang w:val="en-US" w:eastAsia="zh-CN"/>
              </w:rPr>
            </w:pPr>
            <w:r>
              <w:rPr>
                <w:rFonts w:hint="eastAsia"/>
                <w:vertAlign w:val="baseline"/>
                <w:lang w:val="en-US" w:eastAsia="zh-CN"/>
              </w:rPr>
              <w:t>基本要求</w:t>
            </w:r>
          </w:p>
        </w:tc>
        <w:tc>
          <w:tcPr>
            <w:tcW w:w="2808" w:type="dxa"/>
            <w:vAlign w:val="center"/>
          </w:tcPr>
          <w:p w14:paraId="130D2F93">
            <w:pPr>
              <w:numPr>
                <w:ilvl w:val="0"/>
                <w:numId w:val="0"/>
              </w:numPr>
              <w:jc w:val="center"/>
              <w:rPr>
                <w:rFonts w:hint="eastAsia" w:eastAsiaTheme="minorEastAsia"/>
                <w:vertAlign w:val="baseline"/>
                <w:lang w:val="en-US" w:eastAsia="zh-CN"/>
              </w:rPr>
            </w:pPr>
            <w:r>
              <w:rPr>
                <w:rFonts w:hint="eastAsia"/>
                <w:vertAlign w:val="baseline"/>
                <w:lang w:val="en-US" w:eastAsia="zh-CN"/>
              </w:rPr>
              <w:t>学业标准</w:t>
            </w:r>
          </w:p>
        </w:tc>
        <w:tc>
          <w:tcPr>
            <w:tcW w:w="1116" w:type="dxa"/>
            <w:vAlign w:val="center"/>
          </w:tcPr>
          <w:p w14:paraId="4218B784">
            <w:pPr>
              <w:numPr>
                <w:ilvl w:val="0"/>
                <w:numId w:val="0"/>
              </w:numPr>
              <w:jc w:val="center"/>
              <w:rPr>
                <w:rFonts w:hint="default" w:eastAsiaTheme="minorEastAsia"/>
                <w:vertAlign w:val="baseline"/>
                <w:lang w:val="en-US" w:eastAsia="zh-CN"/>
              </w:rPr>
            </w:pPr>
            <w:r>
              <w:rPr>
                <w:rFonts w:hint="eastAsia"/>
                <w:vertAlign w:val="baseline"/>
                <w:lang w:val="en-US" w:eastAsia="zh-CN"/>
              </w:rPr>
              <w:t>评定办法</w:t>
            </w:r>
          </w:p>
        </w:tc>
        <w:tc>
          <w:tcPr>
            <w:tcW w:w="1488" w:type="dxa"/>
            <w:vAlign w:val="center"/>
          </w:tcPr>
          <w:p w14:paraId="434884BB">
            <w:pPr>
              <w:numPr>
                <w:ilvl w:val="0"/>
                <w:numId w:val="0"/>
              </w:numPr>
              <w:jc w:val="center"/>
              <w:rPr>
                <w:rFonts w:hint="eastAsia" w:eastAsiaTheme="minorEastAsia"/>
                <w:vertAlign w:val="baseline"/>
                <w:lang w:val="en-US" w:eastAsia="zh-CN"/>
              </w:rPr>
            </w:pPr>
            <w:r>
              <w:rPr>
                <w:rFonts w:hint="eastAsia"/>
                <w:vertAlign w:val="baseline"/>
                <w:lang w:val="en-US" w:eastAsia="zh-CN"/>
              </w:rPr>
              <w:t>备注</w:t>
            </w:r>
          </w:p>
        </w:tc>
      </w:tr>
      <w:tr w14:paraId="7D7F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045" w:type="dxa"/>
            <w:vAlign w:val="center"/>
          </w:tcPr>
          <w:p w14:paraId="051084CE">
            <w:pPr>
              <w:numPr>
                <w:ilvl w:val="0"/>
                <w:numId w:val="0"/>
              </w:numPr>
              <w:jc w:val="center"/>
              <w:rPr>
                <w:rFonts w:hint="eastAsia" w:eastAsiaTheme="minorEastAsia"/>
                <w:vertAlign w:val="baseline"/>
                <w:lang w:val="en-US" w:eastAsia="zh-CN"/>
              </w:rPr>
            </w:pPr>
            <w:r>
              <w:rPr>
                <w:rFonts w:hint="eastAsia"/>
                <w:vertAlign w:val="baseline"/>
                <w:lang w:val="en-US" w:eastAsia="zh-CN"/>
              </w:rPr>
              <w:t>一等</w:t>
            </w:r>
          </w:p>
        </w:tc>
        <w:tc>
          <w:tcPr>
            <w:tcW w:w="2160" w:type="dxa"/>
            <w:vMerge w:val="restart"/>
            <w:vAlign w:val="center"/>
          </w:tcPr>
          <w:p w14:paraId="55CFF1EB">
            <w:pPr>
              <w:numPr>
                <w:ilvl w:val="0"/>
                <w:numId w:val="0"/>
              </w:numPr>
              <w:jc w:val="left"/>
              <w:rPr>
                <w:rFonts w:hint="eastAsia"/>
                <w:vertAlign w:val="baseline"/>
              </w:rPr>
            </w:pPr>
            <w:r>
              <w:rPr>
                <w:rFonts w:hint="eastAsia"/>
                <w:vertAlign w:val="baseline"/>
              </w:rPr>
              <w:t>1.综合素质好，积极参加新生始业教育及其他各类集体活动，</w:t>
            </w:r>
            <w:r>
              <w:rPr>
                <w:rFonts w:hint="eastAsia"/>
                <w:vertAlign w:val="baseline"/>
                <w:lang w:val="en-US" w:eastAsia="zh-CN"/>
              </w:rPr>
              <w:t>没</w:t>
            </w:r>
            <w:r>
              <w:rPr>
                <w:rFonts w:hint="eastAsia"/>
                <w:vertAlign w:val="baseline"/>
              </w:rPr>
              <w:t>有无故缺席者；</w:t>
            </w:r>
          </w:p>
          <w:p w14:paraId="11AF27CA">
            <w:pPr>
              <w:numPr>
                <w:ilvl w:val="0"/>
                <w:numId w:val="0"/>
              </w:numPr>
              <w:jc w:val="left"/>
              <w:rPr>
                <w:rFonts w:hint="eastAsia"/>
                <w:vertAlign w:val="baseline"/>
              </w:rPr>
            </w:pPr>
            <w:r>
              <w:rPr>
                <w:rFonts w:hint="eastAsia"/>
                <w:vertAlign w:val="baseline"/>
              </w:rPr>
              <w:t>2.按时缴纳学费、住宿费；</w:t>
            </w:r>
          </w:p>
          <w:p w14:paraId="5E1962F5">
            <w:pPr>
              <w:numPr>
                <w:ilvl w:val="0"/>
                <w:numId w:val="0"/>
              </w:numPr>
              <w:jc w:val="left"/>
              <w:rPr>
                <w:rFonts w:hint="eastAsia"/>
                <w:vertAlign w:val="baseline"/>
              </w:rPr>
            </w:pPr>
            <w:r>
              <w:rPr>
                <w:rFonts w:hint="eastAsia"/>
                <w:vertAlign w:val="baseline"/>
              </w:rPr>
              <w:t>3.遵守校纪校规，法律法规；</w:t>
            </w:r>
          </w:p>
          <w:p w14:paraId="0DB4A3E0">
            <w:pPr>
              <w:numPr>
                <w:ilvl w:val="0"/>
                <w:numId w:val="0"/>
              </w:numPr>
              <w:jc w:val="left"/>
              <w:rPr>
                <w:rFonts w:hint="eastAsia"/>
                <w:vertAlign w:val="baseline"/>
              </w:rPr>
            </w:pPr>
            <w:r>
              <w:rPr>
                <w:rFonts w:hint="eastAsia"/>
                <w:vertAlign w:val="baseline"/>
              </w:rPr>
              <w:t>4.无学术不端、违反学术道德规范的行为。</w:t>
            </w:r>
          </w:p>
          <w:p w14:paraId="79FA65FF">
            <w:pPr>
              <w:numPr>
                <w:ilvl w:val="0"/>
                <w:numId w:val="0"/>
              </w:numPr>
              <w:jc w:val="left"/>
              <w:rPr>
                <w:rFonts w:hint="default" w:eastAsiaTheme="minorEastAsia"/>
                <w:vertAlign w:val="baseline"/>
                <w:lang w:val="en-US" w:eastAsia="zh-CN"/>
              </w:rPr>
            </w:pPr>
            <w:r>
              <w:rPr>
                <w:rFonts w:hint="eastAsia"/>
                <w:vertAlign w:val="baseline"/>
                <w:lang w:val="en-US" w:eastAsia="zh-CN"/>
              </w:rPr>
              <w:t>5.完成研零计划作业</w:t>
            </w:r>
          </w:p>
        </w:tc>
        <w:tc>
          <w:tcPr>
            <w:tcW w:w="2808" w:type="dxa"/>
            <w:vAlign w:val="center"/>
          </w:tcPr>
          <w:p w14:paraId="5D66655A">
            <w:pPr>
              <w:numPr>
                <w:ilvl w:val="0"/>
                <w:numId w:val="0"/>
              </w:numPr>
              <w:jc w:val="left"/>
              <w:rPr>
                <w:rFonts w:hint="eastAsia"/>
                <w:vertAlign w:val="baseline"/>
              </w:rPr>
            </w:pPr>
            <w:r>
              <w:rPr>
                <w:rFonts w:hint="eastAsia"/>
                <w:vertAlign w:val="baseline"/>
              </w:rPr>
              <w:t>1.研究生入学考试初试成绩总分位列前30%；</w:t>
            </w:r>
          </w:p>
          <w:p w14:paraId="75E8B477">
            <w:pPr>
              <w:numPr>
                <w:ilvl w:val="0"/>
                <w:numId w:val="0"/>
              </w:numPr>
              <w:jc w:val="left"/>
              <w:rPr>
                <w:rFonts w:hint="eastAsia"/>
                <w:vertAlign w:val="baseline"/>
              </w:rPr>
            </w:pPr>
            <w:r>
              <w:rPr>
                <w:rFonts w:hint="eastAsia"/>
                <w:vertAlign w:val="baseline"/>
              </w:rPr>
              <w:t>2.研究生入学考试初试英语成绩50分及以上；</w:t>
            </w:r>
          </w:p>
          <w:p w14:paraId="451CBCF6">
            <w:pPr>
              <w:numPr>
                <w:ilvl w:val="0"/>
                <w:numId w:val="0"/>
              </w:numPr>
              <w:jc w:val="left"/>
              <w:rPr>
                <w:rFonts w:hint="eastAsia"/>
                <w:vertAlign w:val="baseline"/>
              </w:rPr>
            </w:pPr>
            <w:r>
              <w:rPr>
                <w:rFonts w:hint="eastAsia"/>
                <w:vertAlign w:val="baseline"/>
              </w:rPr>
              <w:t>3.入学前以第一作者身份公开发表学术论文</w:t>
            </w:r>
            <w:r>
              <w:rPr>
                <w:rFonts w:hint="eastAsia"/>
                <w:vertAlign w:val="baseline"/>
                <w:lang w:eastAsia="zh-CN"/>
              </w:rPr>
              <w:t>、授权国家发明专利</w:t>
            </w:r>
            <w:r>
              <w:rPr>
                <w:rFonts w:hint="eastAsia"/>
                <w:vertAlign w:val="baseline"/>
              </w:rPr>
              <w:t>或获得学科竞赛省级二等奖及以上（各类竞赛名录参照《杭州师范大学学科竞赛项目一览表》。</w:t>
            </w:r>
          </w:p>
        </w:tc>
        <w:tc>
          <w:tcPr>
            <w:tcW w:w="1116" w:type="dxa"/>
            <w:vAlign w:val="center"/>
          </w:tcPr>
          <w:p w14:paraId="1B733FB2">
            <w:pPr>
              <w:numPr>
                <w:ilvl w:val="0"/>
                <w:numId w:val="0"/>
              </w:numPr>
              <w:jc w:val="left"/>
              <w:rPr>
                <w:rFonts w:hint="eastAsia"/>
                <w:vertAlign w:val="baseline"/>
              </w:rPr>
            </w:pPr>
            <w:r>
              <w:rPr>
                <w:rFonts w:hint="eastAsia"/>
                <w:vertAlign w:val="baseline"/>
              </w:rPr>
              <w:t>同时满足学业标准1、2、3。</w:t>
            </w:r>
          </w:p>
        </w:tc>
        <w:tc>
          <w:tcPr>
            <w:tcW w:w="1488" w:type="dxa"/>
            <w:vAlign w:val="center"/>
          </w:tcPr>
          <w:p w14:paraId="5C197E69">
            <w:pPr>
              <w:numPr>
                <w:ilvl w:val="0"/>
                <w:numId w:val="0"/>
              </w:numPr>
              <w:jc w:val="left"/>
              <w:rPr>
                <w:rFonts w:hint="eastAsia"/>
                <w:vertAlign w:val="baseline"/>
              </w:rPr>
            </w:pPr>
            <w:r>
              <w:rPr>
                <w:rFonts w:hint="eastAsia"/>
                <w:vertAlign w:val="baseline"/>
              </w:rPr>
              <w:t>评选比例不超过班级人数15%，如超出应评人数，则同等条件下按初试成绩总分择优。</w:t>
            </w:r>
          </w:p>
        </w:tc>
      </w:tr>
      <w:tr w14:paraId="2B61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045" w:type="dxa"/>
            <w:vAlign w:val="center"/>
          </w:tcPr>
          <w:p w14:paraId="29CF3CF7">
            <w:pPr>
              <w:numPr>
                <w:ilvl w:val="0"/>
                <w:numId w:val="0"/>
              </w:numPr>
              <w:jc w:val="center"/>
              <w:rPr>
                <w:rFonts w:hint="eastAsia" w:eastAsiaTheme="minorEastAsia"/>
                <w:vertAlign w:val="baseline"/>
                <w:lang w:val="en-US" w:eastAsia="zh-CN"/>
              </w:rPr>
            </w:pPr>
            <w:r>
              <w:rPr>
                <w:rFonts w:hint="eastAsia"/>
                <w:vertAlign w:val="baseline"/>
                <w:lang w:val="en-US" w:eastAsia="zh-CN"/>
              </w:rPr>
              <w:t>二等</w:t>
            </w:r>
          </w:p>
        </w:tc>
        <w:tc>
          <w:tcPr>
            <w:tcW w:w="2160" w:type="dxa"/>
            <w:vMerge w:val="continue"/>
            <w:vAlign w:val="center"/>
          </w:tcPr>
          <w:p w14:paraId="055EBC62">
            <w:pPr>
              <w:numPr>
                <w:ilvl w:val="0"/>
                <w:numId w:val="0"/>
              </w:numPr>
              <w:jc w:val="left"/>
              <w:rPr>
                <w:rFonts w:hint="eastAsia"/>
                <w:vertAlign w:val="baseline"/>
              </w:rPr>
            </w:pPr>
          </w:p>
        </w:tc>
        <w:tc>
          <w:tcPr>
            <w:tcW w:w="2808" w:type="dxa"/>
            <w:vAlign w:val="center"/>
          </w:tcPr>
          <w:p w14:paraId="3A3CCC01">
            <w:pPr>
              <w:numPr>
                <w:ilvl w:val="0"/>
                <w:numId w:val="0"/>
              </w:numPr>
              <w:jc w:val="left"/>
              <w:rPr>
                <w:rFonts w:hint="eastAsia"/>
                <w:vertAlign w:val="baseline"/>
              </w:rPr>
            </w:pPr>
            <w:r>
              <w:rPr>
                <w:rFonts w:hint="eastAsia"/>
                <w:vertAlign w:val="baseline"/>
              </w:rPr>
              <w:t>1.研究生入学考试初试成绩总分位列前50%；</w:t>
            </w:r>
          </w:p>
          <w:p w14:paraId="6FF3D344">
            <w:pPr>
              <w:numPr>
                <w:ilvl w:val="0"/>
                <w:numId w:val="0"/>
              </w:numPr>
              <w:jc w:val="left"/>
              <w:rPr>
                <w:rFonts w:hint="eastAsia"/>
                <w:vertAlign w:val="baseline"/>
              </w:rPr>
            </w:pPr>
            <w:r>
              <w:rPr>
                <w:rFonts w:hint="eastAsia"/>
                <w:vertAlign w:val="baseline"/>
              </w:rPr>
              <w:t>2.研究生入学考试初试英语成绩50分及以上；</w:t>
            </w:r>
          </w:p>
          <w:p w14:paraId="1E30C3AE">
            <w:pPr>
              <w:numPr>
                <w:ilvl w:val="0"/>
                <w:numId w:val="0"/>
              </w:numPr>
              <w:jc w:val="left"/>
              <w:rPr>
                <w:rFonts w:hint="eastAsia"/>
                <w:vertAlign w:val="baseline"/>
              </w:rPr>
            </w:pPr>
            <w:r>
              <w:rPr>
                <w:rFonts w:hint="eastAsia"/>
                <w:vertAlign w:val="baseline"/>
              </w:rPr>
              <w:t>3.入学前以第一作者身份公开发表学术论文</w:t>
            </w:r>
            <w:r>
              <w:rPr>
                <w:rFonts w:hint="eastAsia"/>
                <w:vertAlign w:val="baseline"/>
                <w:lang w:eastAsia="zh-CN"/>
              </w:rPr>
              <w:t>、授权国家发明专利</w:t>
            </w:r>
            <w:r>
              <w:rPr>
                <w:rFonts w:hint="eastAsia"/>
                <w:vertAlign w:val="baseline"/>
              </w:rPr>
              <w:t>或获得学科竞赛省级二等奖及以上者。</w:t>
            </w:r>
          </w:p>
        </w:tc>
        <w:tc>
          <w:tcPr>
            <w:tcW w:w="1116" w:type="dxa"/>
            <w:vAlign w:val="center"/>
          </w:tcPr>
          <w:p w14:paraId="0C8B1F16">
            <w:pPr>
              <w:numPr>
                <w:ilvl w:val="0"/>
                <w:numId w:val="0"/>
              </w:numPr>
              <w:jc w:val="left"/>
              <w:rPr>
                <w:rFonts w:hint="eastAsia"/>
                <w:vertAlign w:val="baseline"/>
              </w:rPr>
            </w:pPr>
            <w:r>
              <w:rPr>
                <w:rFonts w:hint="eastAsia"/>
                <w:vertAlign w:val="baseline"/>
              </w:rPr>
              <w:t>满足</w:t>
            </w:r>
            <w:bookmarkStart w:id="0" w:name="_GoBack"/>
            <w:bookmarkEnd w:id="0"/>
            <w:r>
              <w:rPr>
                <w:rFonts w:hint="eastAsia"/>
                <w:vertAlign w:val="baseline"/>
              </w:rPr>
              <w:t>学业标准1、2或1、3。</w:t>
            </w:r>
          </w:p>
        </w:tc>
        <w:tc>
          <w:tcPr>
            <w:tcW w:w="1488" w:type="dxa"/>
            <w:vAlign w:val="center"/>
          </w:tcPr>
          <w:p w14:paraId="72A832CB">
            <w:pPr>
              <w:numPr>
                <w:ilvl w:val="0"/>
                <w:numId w:val="0"/>
              </w:numPr>
              <w:jc w:val="left"/>
              <w:rPr>
                <w:rFonts w:hint="eastAsia"/>
                <w:vertAlign w:val="baseline"/>
              </w:rPr>
            </w:pPr>
            <w:r>
              <w:rPr>
                <w:rFonts w:hint="eastAsia"/>
                <w:vertAlign w:val="baseline"/>
              </w:rPr>
              <w:t>评选比例不超过班级人数30％，如超出应评人数，则同等条件下按初试成绩总分择优。</w:t>
            </w:r>
          </w:p>
        </w:tc>
      </w:tr>
      <w:tr w14:paraId="03F8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14:paraId="0637F1D4">
            <w:pPr>
              <w:numPr>
                <w:ilvl w:val="0"/>
                <w:numId w:val="0"/>
              </w:numPr>
              <w:jc w:val="center"/>
              <w:rPr>
                <w:rFonts w:hint="default"/>
                <w:vertAlign w:val="baseline"/>
                <w:lang w:val="en-US" w:eastAsia="zh-CN"/>
              </w:rPr>
            </w:pPr>
            <w:r>
              <w:rPr>
                <w:rFonts w:hint="eastAsia"/>
                <w:vertAlign w:val="baseline"/>
                <w:lang w:val="en-US" w:eastAsia="zh-CN"/>
              </w:rPr>
              <w:t>三等</w:t>
            </w:r>
          </w:p>
        </w:tc>
        <w:tc>
          <w:tcPr>
            <w:tcW w:w="2160" w:type="dxa"/>
            <w:vMerge w:val="continue"/>
            <w:vAlign w:val="center"/>
          </w:tcPr>
          <w:p w14:paraId="2FF2F720">
            <w:pPr>
              <w:numPr>
                <w:ilvl w:val="0"/>
                <w:numId w:val="0"/>
              </w:numPr>
              <w:jc w:val="left"/>
              <w:rPr>
                <w:rFonts w:hint="eastAsia"/>
                <w:vertAlign w:val="baseline"/>
              </w:rPr>
            </w:pPr>
          </w:p>
        </w:tc>
        <w:tc>
          <w:tcPr>
            <w:tcW w:w="2808" w:type="dxa"/>
            <w:vAlign w:val="center"/>
          </w:tcPr>
          <w:p w14:paraId="25454B97">
            <w:pPr>
              <w:numPr>
                <w:ilvl w:val="0"/>
                <w:numId w:val="0"/>
              </w:numPr>
              <w:jc w:val="left"/>
              <w:rPr>
                <w:rFonts w:hint="eastAsia"/>
                <w:vertAlign w:val="baseline"/>
              </w:rPr>
            </w:pPr>
          </w:p>
        </w:tc>
        <w:tc>
          <w:tcPr>
            <w:tcW w:w="1116" w:type="dxa"/>
            <w:vAlign w:val="center"/>
          </w:tcPr>
          <w:p w14:paraId="0AB7054E">
            <w:pPr>
              <w:numPr>
                <w:ilvl w:val="0"/>
                <w:numId w:val="0"/>
              </w:numPr>
              <w:jc w:val="left"/>
              <w:rPr>
                <w:rFonts w:hint="eastAsia"/>
                <w:vertAlign w:val="baseline"/>
              </w:rPr>
            </w:pPr>
          </w:p>
        </w:tc>
        <w:tc>
          <w:tcPr>
            <w:tcW w:w="1488" w:type="dxa"/>
            <w:vAlign w:val="center"/>
          </w:tcPr>
          <w:p w14:paraId="4A93F08F">
            <w:pPr>
              <w:numPr>
                <w:ilvl w:val="0"/>
                <w:numId w:val="0"/>
              </w:numPr>
              <w:jc w:val="left"/>
              <w:rPr>
                <w:rFonts w:hint="eastAsia"/>
                <w:vertAlign w:val="baseline"/>
              </w:rPr>
            </w:pPr>
            <w:r>
              <w:rPr>
                <w:rFonts w:hint="eastAsia"/>
                <w:vertAlign w:val="baseline"/>
              </w:rPr>
              <w:t>评选比例不超过班级人数55%。</w:t>
            </w:r>
          </w:p>
        </w:tc>
      </w:tr>
    </w:tbl>
    <w:p w14:paraId="079CE2A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sz w:val="24"/>
          <w:szCs w:val="32"/>
        </w:rPr>
      </w:pPr>
      <w:r>
        <w:rPr>
          <w:rFonts w:hint="eastAsia"/>
          <w:sz w:val="24"/>
          <w:szCs w:val="32"/>
        </w:rPr>
        <w:t>本细则制订后，将在202</w:t>
      </w:r>
      <w:r>
        <w:rPr>
          <w:rFonts w:hint="eastAsia"/>
          <w:sz w:val="24"/>
          <w:szCs w:val="32"/>
          <w:lang w:val="en-US" w:eastAsia="zh-CN"/>
        </w:rPr>
        <w:t>5</w:t>
      </w:r>
      <w:r>
        <w:rPr>
          <w:rFonts w:hint="eastAsia"/>
          <w:sz w:val="24"/>
          <w:szCs w:val="32"/>
        </w:rPr>
        <w:t>年开始实行。本细则最终解释权归杭师大美术学院研究生评奖评优工作领导小组所有。</w:t>
      </w:r>
    </w:p>
    <w:p w14:paraId="385E3C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sz w:val="24"/>
          <w:szCs w:val="32"/>
        </w:rPr>
      </w:pPr>
    </w:p>
    <w:p w14:paraId="094174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eastAsia"/>
          <w:sz w:val="24"/>
          <w:szCs w:val="32"/>
          <w:lang w:val="en-US" w:eastAsia="zh-CN"/>
        </w:rPr>
      </w:pPr>
      <w:r>
        <w:rPr>
          <w:rFonts w:hint="eastAsia"/>
          <w:sz w:val="24"/>
          <w:szCs w:val="32"/>
          <w:lang w:val="en-US" w:eastAsia="zh-CN"/>
        </w:rPr>
        <w:t>杭州师范大学美术学院学工办</w:t>
      </w:r>
    </w:p>
    <w:p w14:paraId="43723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right"/>
        <w:textAlignment w:val="auto"/>
        <w:rPr>
          <w:rFonts w:hint="default"/>
          <w:sz w:val="24"/>
          <w:szCs w:val="32"/>
          <w:lang w:val="en-US" w:eastAsia="zh-CN"/>
        </w:rPr>
      </w:pPr>
      <w:r>
        <w:rPr>
          <w:rFonts w:hint="eastAsia"/>
          <w:sz w:val="24"/>
          <w:szCs w:val="32"/>
          <w:lang w:val="en-US" w:eastAsia="zh-CN"/>
        </w:rPr>
        <w:t>2025年9月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340A6"/>
    <w:multiLevelType w:val="singleLevel"/>
    <w:tmpl w:val="A52340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37F7F"/>
    <w:rsid w:val="46837F7F"/>
    <w:rsid w:val="50AB1369"/>
    <w:rsid w:val="531D391D"/>
    <w:rsid w:val="65D5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525</Words>
  <Characters>553</Characters>
  <Lines>0</Lines>
  <Paragraphs>0</Paragraphs>
  <TotalTime>105</TotalTime>
  <ScaleCrop>false</ScaleCrop>
  <LinksUpToDate>false</LinksUpToDate>
  <CharactersWithSpaces>553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2025-09-18T06:41:00Z</dcterms:created>
  <dc:creator>XF</dc:creator>
  <cp:lastModifiedBy>XF</cp:lastModifiedBy>
  <dcterms:modified xsi:type="dcterms:W3CDTF">2025-09-18T15:34:40Z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AA0F91608A2A4410A0B7A1CF20F6D0D8_11</vt:lpwstr>
  </property>
  <property fmtid="{D5CDD505-2E9C-101B-9397-08002B2CF9AE}" pid="4" name="KSOTemplateDocerSaveRecord">
    <vt:lpwstr>eyJoZGlkIjoiYzRmYTgwZTJjOGIxMzRiZjJiNjZiYjQ1MWViNTNhOTYiLCJ1c2VySWQiOiI0MzM0NjI4NjAifQ==</vt:lpwstr>
  </property>
</Properties>
</file>