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FF0000"/>
          <w:sz w:val="52"/>
          <w:szCs w:val="52"/>
        </w:rPr>
      </w:pPr>
      <w:bookmarkStart w:id="0" w:name="_GoBack"/>
      <w:bookmarkEnd w:id="0"/>
      <w:r>
        <w:rPr>
          <w:rFonts w:ascii="仿宋_GB2312" w:eastAsia="仿宋_GB2312"/>
          <w:color w:val="000000"/>
          <w:sz w:val="13"/>
          <w:szCs w:val="44"/>
        </w:rPr>
        <w:pict>
          <v:shape id="_x0000_i1025" o:spt="136" type="#_x0000_t136" style="height:36.95pt;width:386.6pt;" fillcolor="#FF0000" filled="t" stroked="f" coordsize="21600,21600">
            <v:path/>
            <v:fill on="t" focussize="0,0"/>
            <v:stroke on="f"/>
            <v:imagedata o:title=""/>
            <o:lock v:ext="edit" text="f"/>
            <v:textpath on="t" fitshape="t" fitpath="t" trim="t" xscale="f" string="杭州师范大学美术学院文件" style="font-family:华文中宋;font-size:32pt;font-weight:bold;v-text-align:center;v-text-spacing:78650f;"/>
            <w10:wrap type="none"/>
            <w10:anchorlock/>
          </v:shape>
        </w:pict>
      </w:r>
    </w:p>
    <w:p>
      <w:pPr>
        <w:jc w:val="center"/>
        <w:rPr>
          <w:rFonts w:hint="eastAsia" w:ascii="仿宋" w:hAnsi="仿宋" w:eastAsia="仿宋" w:cs="仿宋"/>
          <w:color w:val="000000"/>
          <w:kern w:val="0"/>
          <w:sz w:val="31"/>
          <w:szCs w:val="31"/>
        </w:rPr>
      </w:pPr>
    </w:p>
    <w:p>
      <w:pPr>
        <w:jc w:val="center"/>
        <w:rPr>
          <w:rFonts w:ascii="宋体" w:hAnsi="宋体"/>
          <w:sz w:val="30"/>
          <w:szCs w:val="30"/>
        </w:rPr>
      </w:pPr>
      <w:r>
        <w:rPr>
          <w:rFonts w:hint="eastAsia" w:ascii="仿宋" w:hAnsi="仿宋" w:eastAsia="仿宋" w:cs="仿宋"/>
          <w:color w:val="000000"/>
          <w:kern w:val="0"/>
          <w:sz w:val="31"/>
          <w:szCs w:val="31"/>
        </w:rPr>
        <w:t>美院发〔</w:t>
      </w:r>
      <w:r>
        <w:rPr>
          <w:rFonts w:ascii="仿宋" w:hAnsi="仿宋" w:eastAsia="仿宋" w:cs="仿宋"/>
          <w:color w:val="000000"/>
          <w:kern w:val="0"/>
          <w:sz w:val="31"/>
          <w:szCs w:val="31"/>
        </w:rPr>
        <w:t>2019</w:t>
      </w:r>
      <w:r>
        <w:rPr>
          <w:rFonts w:hint="eastAsia" w:ascii="仿宋" w:hAnsi="仿宋" w:eastAsia="仿宋" w:cs="仿宋"/>
          <w:color w:val="000000"/>
          <w:kern w:val="0"/>
          <w:sz w:val="31"/>
          <w:szCs w:val="31"/>
        </w:rPr>
        <w:t>〕9号</w:t>
      </w:r>
    </w:p>
    <w:p>
      <w:pPr>
        <w:jc w:val="center"/>
        <w:rPr>
          <w:rFonts w:asciiTheme="minorEastAsia" w:hAnsiTheme="minorEastAsia" w:eastAsiaTheme="minorEastAsia" w:cstheme="minorBidi"/>
          <w:b/>
          <w:sz w:val="32"/>
          <w:szCs w:val="32"/>
        </w:rPr>
      </w:pPr>
      <w:r>
        <w:rPr>
          <w:rFonts w:hint="eastAsia" w:asciiTheme="minorEastAsia" w:hAnsiTheme="minorEastAsia" w:eastAsiaTheme="minorEastAsia" w:cstheme="minorBidi"/>
          <w:b/>
          <w:sz w:val="32"/>
          <w:szCs w:val="32"/>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221615</wp:posOffset>
                </wp:positionV>
                <wp:extent cx="5600700" cy="0"/>
                <wp:effectExtent l="0" t="19050" r="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6.5pt;margin-top:17.45pt;height:0pt;width:441pt;z-index:251659264;mso-width-relative:page;mso-height-relative:page;" filled="f" stroked="t" coordsize="21600,21600" o:gfxdata="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r0YGvXAAAACQEAAA8AAAAAAAAAAQAgAAAAIgAAAGRycy9k&#10;b3ducmV2LnhtbFBLAQIUABQAAAAIAIdO4kBJppmhygEAAF0DAAAOAAAAAAAAAAEAIAAAACYBAABk&#10;cnMvZTJvRG9jLnhtbFBLBQYAAAAABgAGAFkBAABiBQAAAAA=&#10;">
                <v:fill on="f" focussize="0,0"/>
                <v:stroke weight="2.25pt" color="#FF0000" joinstyle="round"/>
                <v:imagedata o:title=""/>
                <o:lock v:ext="edit" aspectratio="f"/>
              </v:line>
            </w:pict>
          </mc:Fallback>
        </mc:AlternateContent>
      </w:r>
    </w:p>
    <w:p>
      <w:pPr>
        <w:spacing w:line="440" w:lineRule="exact"/>
        <w:rPr>
          <w:sz w:val="44"/>
          <w:szCs w:val="44"/>
        </w:rPr>
      </w:pPr>
    </w:p>
    <w:p>
      <w:pPr>
        <w:ind w:firstLine="643" w:firstLineChars="200"/>
        <w:jc w:val="center"/>
        <w:rPr>
          <w:rFonts w:ascii="黑体" w:hAnsi="黑体" w:eastAsia="黑体" w:cstheme="minorBidi"/>
          <w:b/>
          <w:sz w:val="32"/>
          <w:szCs w:val="32"/>
        </w:rPr>
      </w:pPr>
      <w:r>
        <w:rPr>
          <w:rFonts w:hint="eastAsia" w:ascii="黑体" w:hAnsi="黑体" w:eastAsia="黑体" w:cs="仿宋"/>
          <w:b/>
          <w:color w:val="000000"/>
          <w:kern w:val="0"/>
          <w:sz w:val="32"/>
          <w:szCs w:val="32"/>
        </w:rPr>
        <w:t>关于印发</w:t>
      </w:r>
      <w:r>
        <w:rPr>
          <w:rFonts w:hint="eastAsia" w:ascii="黑体" w:hAnsi="黑体" w:eastAsia="黑体"/>
          <w:b/>
          <w:sz w:val="32"/>
          <w:szCs w:val="32"/>
        </w:rPr>
        <w:t>《</w:t>
      </w:r>
      <w:r>
        <w:rPr>
          <w:rFonts w:hint="eastAsia" w:asciiTheme="minorEastAsia" w:hAnsiTheme="minorEastAsia"/>
          <w:b/>
          <w:sz w:val="32"/>
          <w:szCs w:val="30"/>
        </w:rPr>
        <w:t>美术学院学科成员使用学科建设经费在职进修、参加境内外学术会议的暂行细则</w:t>
      </w:r>
      <w:r>
        <w:rPr>
          <w:rFonts w:hint="eastAsia" w:ascii="黑体" w:hAnsi="黑体" w:eastAsia="黑体" w:cs="方正隶变简体"/>
          <w:b/>
          <w:bCs/>
          <w:sz w:val="32"/>
          <w:szCs w:val="32"/>
        </w:rPr>
        <w:t>》</w:t>
      </w:r>
      <w:r>
        <w:rPr>
          <w:rFonts w:hint="eastAsia" w:ascii="黑体" w:hAnsi="黑体" w:eastAsia="黑体" w:cstheme="minorBidi"/>
          <w:b/>
          <w:sz w:val="32"/>
          <w:szCs w:val="32"/>
        </w:rPr>
        <w:t>的通知</w:t>
      </w:r>
    </w:p>
    <w:p>
      <w:pPr>
        <w:spacing w:line="300" w:lineRule="exact"/>
        <w:jc w:val="center"/>
        <w:rPr>
          <w:rFonts w:ascii="黑体" w:hAnsi="黑体" w:eastAsia="黑体" w:cstheme="minorBidi"/>
          <w:b/>
          <w:sz w:val="32"/>
          <w:szCs w:val="32"/>
        </w:rPr>
      </w:pPr>
    </w:p>
    <w:p>
      <w:pPr>
        <w:autoSpaceDE w:val="0"/>
        <w:autoSpaceDN w:val="0"/>
        <w:adjustRightInd w:val="0"/>
        <w:spacing w:line="540" w:lineRule="exact"/>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学院各部门（内设机构）：</w:t>
      </w:r>
    </w:p>
    <w:p>
      <w:pPr>
        <w:autoSpaceDE w:val="0"/>
        <w:autoSpaceDN w:val="0"/>
        <w:adjustRightInd w:val="0"/>
        <w:spacing w:line="540" w:lineRule="exact"/>
        <w:ind w:firstLine="555"/>
        <w:jc w:val="left"/>
        <w:rPr>
          <w:rFonts w:ascii="仿宋" w:hAnsi="仿宋" w:eastAsia="仿宋" w:cs="仿宋"/>
          <w:color w:val="000000"/>
          <w:kern w:val="0"/>
          <w:sz w:val="28"/>
          <w:szCs w:val="28"/>
        </w:rPr>
      </w:pPr>
      <w:r>
        <w:rPr>
          <w:rFonts w:hint="eastAsia" w:ascii="仿宋" w:hAnsi="仿宋" w:eastAsia="仿宋"/>
          <w:sz w:val="28"/>
          <w:szCs w:val="28"/>
        </w:rPr>
        <w:t>《美术学院学科成员使用学科建设经费在职进修、参加境内外学术会议的暂行细则</w:t>
      </w:r>
      <w:r>
        <w:rPr>
          <w:rFonts w:hint="eastAsia" w:ascii="仿宋" w:hAnsi="仿宋" w:eastAsia="仿宋" w:cs="方正隶变简体"/>
          <w:bCs/>
          <w:sz w:val="28"/>
          <w:szCs w:val="28"/>
        </w:rPr>
        <w:t>》</w:t>
      </w:r>
      <w:r>
        <w:rPr>
          <w:rFonts w:hint="eastAsia" w:ascii="仿宋" w:hAnsi="仿宋" w:eastAsia="仿宋" w:cs="仿宋"/>
          <w:color w:val="000000"/>
          <w:kern w:val="0"/>
          <w:sz w:val="28"/>
          <w:szCs w:val="28"/>
        </w:rPr>
        <w:t>已经学院党政联席会议审议通过，现予印发，请认真执行。</w:t>
      </w:r>
    </w:p>
    <w:p>
      <w:pPr>
        <w:autoSpaceDE w:val="0"/>
        <w:autoSpaceDN w:val="0"/>
        <w:adjustRightInd w:val="0"/>
        <w:spacing w:line="540" w:lineRule="exact"/>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spacing w:line="640" w:lineRule="exact"/>
        <w:rPr>
          <w:rFonts w:ascii="仿宋" w:hAnsi="仿宋" w:eastAsia="仿宋" w:cstheme="minorBidi"/>
          <w:sz w:val="28"/>
          <w:szCs w:val="28"/>
        </w:rPr>
      </w:pPr>
      <w:r>
        <w:rPr>
          <w:rFonts w:hint="eastAsia" w:ascii="仿宋" w:hAnsi="仿宋" w:eastAsia="仿宋" w:cstheme="minorBidi"/>
          <w:sz w:val="28"/>
          <w:szCs w:val="28"/>
        </w:rPr>
        <w:t xml:space="preserve">                                 </w:t>
      </w:r>
    </w:p>
    <w:p>
      <w:pPr>
        <w:spacing w:line="640" w:lineRule="exact"/>
        <w:ind w:firstLine="4760" w:firstLineChars="1700"/>
        <w:rPr>
          <w:rFonts w:ascii="仿宋" w:hAnsi="仿宋" w:eastAsia="仿宋" w:cstheme="minorBidi"/>
          <w:sz w:val="28"/>
          <w:szCs w:val="28"/>
        </w:rPr>
      </w:pPr>
      <w:r>
        <w:rPr>
          <w:rFonts w:hint="eastAsia" w:ascii="仿宋" w:hAnsi="仿宋" w:eastAsia="仿宋" w:cstheme="minorBidi"/>
          <w:sz w:val="28"/>
          <w:szCs w:val="28"/>
        </w:rPr>
        <w:t>杭州师范大学美术学院</w:t>
      </w:r>
    </w:p>
    <w:p>
      <w:pPr>
        <w:autoSpaceDE w:val="0"/>
        <w:autoSpaceDN w:val="0"/>
        <w:adjustRightInd w:val="0"/>
        <w:ind w:firstLine="555"/>
        <w:jc w:val="left"/>
        <w:rPr>
          <w:rFonts w:ascii="仿宋" w:hAnsi="仿宋" w:eastAsia="仿宋" w:cstheme="minorBidi"/>
          <w:sz w:val="28"/>
          <w:szCs w:val="28"/>
        </w:rPr>
      </w:pPr>
      <w:r>
        <w:rPr>
          <w:rFonts w:hint="eastAsia" w:ascii="仿宋" w:hAnsi="仿宋" w:eastAsia="仿宋" w:cstheme="minorBidi"/>
          <w:sz w:val="28"/>
          <w:szCs w:val="28"/>
        </w:rPr>
        <w:t xml:space="preserve">                                  2019年10月22日</w:t>
      </w: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pStyle w:val="2"/>
      </w:pPr>
    </w:p>
    <w:p>
      <w:pPr>
        <w:pStyle w:val="2"/>
      </w:pPr>
    </w:p>
    <w:p>
      <w:pPr>
        <w:pStyle w:val="2"/>
      </w:pPr>
    </w:p>
    <w:p>
      <w:pPr>
        <w:pStyle w:val="2"/>
      </w:pPr>
    </w:p>
    <w:p>
      <w:pPr>
        <w:pStyle w:val="2"/>
      </w:pPr>
    </w:p>
    <w:p>
      <w:pPr>
        <w:pStyle w:val="2"/>
      </w:pPr>
    </w:p>
    <w:p>
      <w:pPr>
        <w:pStyle w:val="2"/>
        <w:rPr>
          <w:rFonts w:hint="eastAsia"/>
        </w:rPr>
      </w:pPr>
    </w:p>
    <w:p>
      <w:pPr>
        <w:pStyle w:val="2"/>
      </w:pPr>
    </w:p>
    <w:p>
      <w:pPr>
        <w:pStyle w:val="2"/>
      </w:pPr>
    </w:p>
    <w:p>
      <w:pPr>
        <w:jc w:val="center"/>
        <w:rPr>
          <w:rFonts w:asciiTheme="minorEastAsia" w:hAnsiTheme="minorEastAsia"/>
          <w:b/>
          <w:sz w:val="32"/>
          <w:szCs w:val="30"/>
        </w:rPr>
      </w:pPr>
      <w:r>
        <w:rPr>
          <w:rFonts w:hint="eastAsia" w:asciiTheme="minorEastAsia" w:hAnsiTheme="minorEastAsia"/>
          <w:b/>
          <w:sz w:val="32"/>
          <w:szCs w:val="30"/>
        </w:rPr>
        <w:t>美术学院学科成员使用学科建设经费</w:t>
      </w:r>
    </w:p>
    <w:p>
      <w:pPr>
        <w:jc w:val="center"/>
        <w:rPr>
          <w:rFonts w:asciiTheme="minorEastAsia" w:hAnsiTheme="minorEastAsia"/>
          <w:b/>
          <w:sz w:val="32"/>
          <w:szCs w:val="30"/>
        </w:rPr>
      </w:pPr>
      <w:r>
        <w:rPr>
          <w:rFonts w:hint="eastAsia" w:asciiTheme="minorEastAsia" w:hAnsiTheme="minorEastAsia"/>
          <w:b/>
          <w:sz w:val="32"/>
          <w:szCs w:val="30"/>
        </w:rPr>
        <w:t>在职进修、参加境内外学术会议的暂行细则</w:t>
      </w:r>
    </w:p>
    <w:p>
      <w:pPr>
        <w:jc w:val="center"/>
        <w:rPr>
          <w:rFonts w:ascii="楷体" w:hAnsi="楷体" w:eastAsia="楷体"/>
          <w:b/>
          <w:sz w:val="32"/>
          <w:szCs w:val="30"/>
        </w:rPr>
      </w:pPr>
    </w:p>
    <w:p>
      <w:pPr>
        <w:jc w:val="center"/>
        <w:rPr>
          <w:b/>
          <w:sz w:val="32"/>
          <w:szCs w:val="30"/>
        </w:rPr>
      </w:pPr>
    </w:p>
    <w:p>
      <w:pPr>
        <w:adjustRightInd w:val="0"/>
        <w:spacing w:line="360" w:lineRule="auto"/>
        <w:ind w:firstLine="600"/>
        <w:rPr>
          <w:rFonts w:asciiTheme="minorEastAsia" w:hAnsiTheme="minorEastAsia"/>
          <w:sz w:val="24"/>
        </w:rPr>
      </w:pPr>
      <w:r>
        <w:rPr>
          <w:rFonts w:hint="eastAsia" w:asciiTheme="minorEastAsia" w:hAnsiTheme="minorEastAsia"/>
          <w:sz w:val="24"/>
        </w:rPr>
        <w:t>为切实加强美术学院的学科建设，科学有序地使用学科建设经费，在严格遵守《浙江省高校重点学科建设经费使用管理办法》和《浙江省一流学科建设实施办法》等上级文件精神的前提下，贯彻执行《杭州师范大学省一流学科建设经费使用暂行管理办法》，结合学校相关要求和我院学科建设经费的年度预算，经学院学科建设领导小组讨论，特制订以下暂行细则（2019-2020）。经学院党政联席会议审议同意，现将本暂行细则公布如下。</w:t>
      </w:r>
    </w:p>
    <w:p>
      <w:pPr>
        <w:adjustRightInd w:val="0"/>
        <w:spacing w:line="360" w:lineRule="auto"/>
        <w:ind w:firstLine="600"/>
        <w:rPr>
          <w:rFonts w:asciiTheme="minorEastAsia" w:hAnsiTheme="minorEastAsia"/>
          <w:sz w:val="24"/>
        </w:rPr>
      </w:pPr>
    </w:p>
    <w:p>
      <w:pPr>
        <w:adjustRightInd w:val="0"/>
        <w:spacing w:line="360" w:lineRule="auto"/>
        <w:jc w:val="center"/>
        <w:rPr>
          <w:rFonts w:ascii="楷体" w:hAnsi="楷体" w:eastAsia="楷体"/>
          <w:b/>
          <w:sz w:val="28"/>
        </w:rPr>
      </w:pPr>
      <w:r>
        <w:rPr>
          <w:rFonts w:hint="eastAsia" w:ascii="楷体" w:hAnsi="楷体" w:eastAsia="楷体"/>
          <w:b/>
          <w:sz w:val="28"/>
        </w:rPr>
        <w:t>第一章  总则</w:t>
      </w:r>
    </w:p>
    <w:p>
      <w:pPr>
        <w:adjustRightInd w:val="0"/>
        <w:spacing w:line="360" w:lineRule="auto"/>
        <w:ind w:firstLine="480" w:firstLineChars="200"/>
        <w:rPr>
          <w:rFonts w:ascii="楷体" w:hAnsi="楷体" w:eastAsia="楷体"/>
          <w:sz w:val="24"/>
        </w:rPr>
      </w:pPr>
      <w:r>
        <w:rPr>
          <w:rFonts w:hint="eastAsia" w:ascii="楷体" w:hAnsi="楷体" w:eastAsia="楷体"/>
          <w:sz w:val="24"/>
        </w:rPr>
        <w:t>第一条  凝练一流学科方向。</w:t>
      </w:r>
    </w:p>
    <w:p>
      <w:pPr>
        <w:adjustRightInd w:val="0"/>
        <w:spacing w:line="360" w:lineRule="auto"/>
        <w:ind w:firstLine="480" w:firstLineChars="200"/>
        <w:rPr>
          <w:rFonts w:ascii="楷体" w:hAnsi="楷体" w:eastAsia="楷体"/>
          <w:sz w:val="24"/>
        </w:rPr>
      </w:pPr>
      <w:r>
        <w:rPr>
          <w:rFonts w:hint="eastAsia" w:ascii="楷体" w:hAnsi="楷体" w:eastAsia="楷体"/>
          <w:sz w:val="24"/>
        </w:rPr>
        <w:t>第二条  培养一流拔尖人才。</w:t>
      </w:r>
    </w:p>
    <w:p>
      <w:pPr>
        <w:adjustRightInd w:val="0"/>
        <w:spacing w:line="360" w:lineRule="auto"/>
        <w:ind w:firstLine="480" w:firstLineChars="200"/>
        <w:rPr>
          <w:rFonts w:ascii="楷体" w:hAnsi="楷体" w:eastAsia="楷体"/>
          <w:sz w:val="24"/>
        </w:rPr>
      </w:pPr>
      <w:r>
        <w:rPr>
          <w:rFonts w:hint="eastAsia" w:ascii="楷体" w:hAnsi="楷体" w:eastAsia="楷体"/>
          <w:sz w:val="24"/>
        </w:rPr>
        <w:t>第三条  集聚一流师资队伍。</w:t>
      </w:r>
    </w:p>
    <w:p>
      <w:pPr>
        <w:adjustRightInd w:val="0"/>
        <w:spacing w:line="360" w:lineRule="auto"/>
        <w:ind w:firstLine="480" w:firstLineChars="200"/>
        <w:rPr>
          <w:rFonts w:ascii="楷体" w:hAnsi="楷体" w:eastAsia="楷体"/>
          <w:sz w:val="24"/>
        </w:rPr>
      </w:pPr>
      <w:r>
        <w:rPr>
          <w:rFonts w:hint="eastAsia" w:ascii="楷体" w:hAnsi="楷体" w:eastAsia="楷体"/>
          <w:sz w:val="24"/>
        </w:rPr>
        <w:t>第四条  产出一流科研成果（含学术研究、艺术创作两端）。</w:t>
      </w:r>
    </w:p>
    <w:p>
      <w:pPr>
        <w:adjustRightInd w:val="0"/>
        <w:spacing w:line="360" w:lineRule="auto"/>
        <w:ind w:firstLine="480" w:firstLineChars="200"/>
        <w:rPr>
          <w:rFonts w:ascii="楷体" w:hAnsi="楷体" w:eastAsia="楷体"/>
          <w:sz w:val="24"/>
        </w:rPr>
      </w:pPr>
      <w:r>
        <w:rPr>
          <w:rFonts w:hint="eastAsia" w:ascii="楷体" w:hAnsi="楷体" w:eastAsia="楷体"/>
          <w:sz w:val="24"/>
        </w:rPr>
        <w:t>第五条  提高学科国际化水平</w:t>
      </w:r>
    </w:p>
    <w:p>
      <w:pPr>
        <w:adjustRightInd w:val="0"/>
        <w:spacing w:line="360" w:lineRule="auto"/>
        <w:ind w:firstLine="480" w:firstLineChars="200"/>
        <w:rPr>
          <w:rFonts w:ascii="楷体" w:hAnsi="楷体" w:eastAsia="楷体"/>
          <w:sz w:val="24"/>
        </w:rPr>
      </w:pPr>
      <w:r>
        <w:rPr>
          <w:rFonts w:hint="eastAsia" w:ascii="楷体" w:hAnsi="楷体" w:eastAsia="楷体"/>
          <w:sz w:val="24"/>
        </w:rPr>
        <w:t>第六条  培育潜力，培养梯队。</w:t>
      </w:r>
    </w:p>
    <w:p>
      <w:pPr>
        <w:adjustRightInd w:val="0"/>
        <w:spacing w:line="360" w:lineRule="auto"/>
        <w:ind w:firstLine="480" w:firstLineChars="200"/>
        <w:rPr>
          <w:rFonts w:ascii="楷体" w:hAnsi="楷体" w:eastAsia="楷体"/>
          <w:sz w:val="24"/>
        </w:rPr>
      </w:pPr>
      <w:r>
        <w:rPr>
          <w:rFonts w:hint="eastAsia" w:ascii="楷体" w:hAnsi="楷体" w:eastAsia="楷体"/>
          <w:sz w:val="24"/>
        </w:rPr>
        <w:t>第七条  提升相关学科社会声誉。</w:t>
      </w:r>
    </w:p>
    <w:p>
      <w:pPr>
        <w:adjustRightInd w:val="0"/>
        <w:spacing w:line="360" w:lineRule="auto"/>
        <w:rPr>
          <w:rFonts w:ascii="楷体" w:hAnsi="楷体" w:eastAsia="楷体"/>
          <w:sz w:val="24"/>
        </w:rPr>
      </w:pPr>
    </w:p>
    <w:p>
      <w:pPr>
        <w:adjustRightInd w:val="0"/>
        <w:spacing w:line="360" w:lineRule="auto"/>
        <w:jc w:val="center"/>
        <w:rPr>
          <w:rFonts w:ascii="楷体" w:hAnsi="楷体" w:eastAsia="楷体"/>
          <w:b/>
          <w:sz w:val="28"/>
        </w:rPr>
      </w:pPr>
      <w:r>
        <w:rPr>
          <w:rFonts w:hint="eastAsia" w:ascii="楷体" w:hAnsi="楷体" w:eastAsia="楷体"/>
          <w:b/>
          <w:sz w:val="28"/>
        </w:rPr>
        <w:t>第二章  使用事项范围</w:t>
      </w:r>
    </w:p>
    <w:p>
      <w:pPr>
        <w:adjustRightInd w:val="0"/>
        <w:spacing w:line="360" w:lineRule="auto"/>
        <w:ind w:firstLine="480" w:firstLineChars="200"/>
        <w:rPr>
          <w:rFonts w:ascii="楷体" w:hAnsi="楷体" w:eastAsia="楷体"/>
          <w:sz w:val="24"/>
        </w:rPr>
      </w:pPr>
      <w:r>
        <w:rPr>
          <w:rFonts w:hint="eastAsia" w:ascii="楷体" w:hAnsi="楷体" w:eastAsia="楷体"/>
          <w:sz w:val="24"/>
        </w:rPr>
        <w:t xml:space="preserve">第八条  在职进修。特指在聘在岗的学科成员，境内在职进修博士学位或在职外出从事博士后研究，或赴境外在职进修6个月以上的访学（连续）、学历教育。 </w:t>
      </w:r>
    </w:p>
    <w:p>
      <w:pPr>
        <w:adjustRightInd w:val="0"/>
        <w:spacing w:line="360" w:lineRule="auto"/>
        <w:ind w:firstLine="600" w:firstLineChars="250"/>
        <w:rPr>
          <w:rFonts w:ascii="楷体" w:hAnsi="楷体" w:eastAsia="楷体"/>
          <w:sz w:val="24"/>
        </w:rPr>
      </w:pPr>
      <w:r>
        <w:rPr>
          <w:rFonts w:hint="eastAsia" w:ascii="楷体" w:hAnsi="楷体" w:eastAsia="楷体"/>
          <w:sz w:val="24"/>
        </w:rPr>
        <w:t>第九条  境内外学术会议（含艺术展览）。特指在聘在岗的学科成员，应邀参加境内外与本人从事学科（研究方向）联系密切、有利于提高所在学科社会声誉或国际影响力的学术会议，以及出席参加高规格的艺术展览活动。</w:t>
      </w:r>
    </w:p>
    <w:p>
      <w:pPr>
        <w:adjustRightInd w:val="0"/>
        <w:spacing w:line="360" w:lineRule="auto"/>
        <w:ind w:firstLine="480" w:firstLineChars="200"/>
        <w:rPr>
          <w:rFonts w:ascii="楷体" w:hAnsi="楷体" w:eastAsia="楷体"/>
          <w:sz w:val="24"/>
        </w:rPr>
      </w:pPr>
      <w:r>
        <w:rPr>
          <w:rFonts w:hint="eastAsia" w:ascii="楷体" w:hAnsi="楷体" w:eastAsia="楷体"/>
          <w:sz w:val="24"/>
        </w:rPr>
        <w:t>第十条  带领学生参加境内外学术会议、重大专业展览。特指限于正在任教的本专业本科生或所指导的在读研究生。</w:t>
      </w:r>
    </w:p>
    <w:p>
      <w:pPr>
        <w:adjustRightInd w:val="0"/>
        <w:spacing w:line="360" w:lineRule="auto"/>
        <w:ind w:firstLine="482" w:firstLineChars="200"/>
        <w:jc w:val="center"/>
        <w:rPr>
          <w:rFonts w:ascii="楷体" w:hAnsi="楷体" w:eastAsia="楷体"/>
          <w:b/>
          <w:sz w:val="24"/>
        </w:rPr>
      </w:pPr>
    </w:p>
    <w:p>
      <w:pPr>
        <w:adjustRightInd w:val="0"/>
        <w:spacing w:line="360" w:lineRule="auto"/>
        <w:jc w:val="center"/>
        <w:rPr>
          <w:rFonts w:ascii="楷体" w:hAnsi="楷体" w:eastAsia="楷体"/>
          <w:b/>
          <w:sz w:val="28"/>
        </w:rPr>
      </w:pPr>
      <w:r>
        <w:rPr>
          <w:rFonts w:hint="eastAsia" w:ascii="楷体" w:hAnsi="楷体" w:eastAsia="楷体"/>
          <w:b/>
          <w:sz w:val="28"/>
        </w:rPr>
        <w:t>第三章  使用经费额度及其基本条件</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第十一条  在职进修。每人五年内可申请使用一次，且进修专业须符合所属学科的基本范畴（学院特别指派者例外）。基本条件：经学院同意，并经学校人事部门正式批复同意。</w:t>
      </w:r>
    </w:p>
    <w:p>
      <w:pPr>
        <w:adjustRightInd w:val="0"/>
        <w:spacing w:line="420" w:lineRule="exact"/>
        <w:ind w:firstLine="480" w:firstLineChars="200"/>
        <w:rPr>
          <w:rFonts w:ascii="楷体" w:hAnsi="楷体" w:eastAsia="楷体"/>
          <w:sz w:val="24"/>
        </w:rPr>
      </w:pPr>
      <w:r>
        <w:rPr>
          <w:rFonts w:hint="eastAsia" w:ascii="楷体" w:hAnsi="楷体" w:eastAsia="楷体"/>
          <w:sz w:val="24"/>
        </w:rPr>
        <w:t>（一）境内在职进修博士学位。期间（最多为期四年），给予每学期2次往返差旅费的全额报销。须符合相关财务报销规定，且不含市内交通、不领取差旅补贴。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（二）境内在职外出从事博士后研究。期间（最多为期二年）,给予毎学期2次往返差旅费的全额报销。须符合相关财务报销规定,且不含市内交通、不领取差旅补贴。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（三）赴境外在职进修，从事6个月以上的访学、学历教育。期间（时间以学校人事部门第一次批准的期限为准，申请延长期不予考虑）</w:t>
      </w:r>
      <w:r>
        <w:rPr>
          <w:rFonts w:ascii="楷体" w:hAnsi="楷体" w:eastAsia="楷体"/>
          <w:sz w:val="24"/>
        </w:rPr>
        <w:t>，</w:t>
      </w:r>
      <w:r>
        <w:rPr>
          <w:rFonts w:hint="eastAsia" w:ascii="楷体" w:hAnsi="楷体" w:eastAsia="楷体"/>
          <w:sz w:val="24"/>
        </w:rPr>
        <w:t>给予1次国际往返差旅费的全额报销。须符合相关财务报销规定，且不含市内交通、不领取差旅补贴。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第十二条  境内外学术会议。每人每年可申请使用一次，且会议属性符合所属学科的基本范畴（学院特别指派者例外）。基本条件：经学院同意，境外会议同时须并学校外事部门正式批复同意；同时，具备以下两种情况之一者，一是在会议上正式发表论文（报销前，须提供会议正式邀请函、会议议程和会议论文集等证明材料），二是应邀担任学术会议特邀嘉宾、学术主持、学术评议、主旨发言等（报销前，须提供会议正式邀请函、会议议程、会议代表合影或活动照片等依据）。</w:t>
      </w:r>
    </w:p>
    <w:p>
      <w:pPr>
        <w:adjustRightInd w:val="0"/>
        <w:spacing w:line="420" w:lineRule="exact"/>
        <w:ind w:firstLine="480" w:firstLineChars="200"/>
        <w:rPr>
          <w:rFonts w:ascii="楷体" w:hAnsi="楷体" w:eastAsia="楷体"/>
          <w:sz w:val="24"/>
        </w:rPr>
      </w:pPr>
      <w:r>
        <w:rPr>
          <w:rFonts w:hint="eastAsia" w:ascii="楷体" w:hAnsi="楷体" w:eastAsia="楷体"/>
          <w:sz w:val="24"/>
        </w:rPr>
        <w:t>（一）境内学术会议。发表会议论文者，报销往返差旅费、住宿费以及会务费（会务费最高上限1200元人民币）</w:t>
      </w:r>
      <w:r>
        <w:rPr>
          <w:rFonts w:ascii="楷体" w:hAnsi="楷体" w:eastAsia="楷体"/>
          <w:sz w:val="24"/>
        </w:rPr>
        <w:t>，</w:t>
      </w:r>
      <w:r>
        <w:rPr>
          <w:rFonts w:hint="eastAsia" w:ascii="楷体" w:hAnsi="楷体" w:eastAsia="楷体"/>
          <w:sz w:val="24"/>
        </w:rPr>
        <w:t>须符合相关财务报销规定，不含市内交通。应邀担任学术会议特邀嘉宾、学术主持、学术评议人等，报销往返差旅费、住宿费，须符合相关财务报销规定，不含市内交通，不报销会务费。</w:t>
      </w:r>
    </w:p>
    <w:p>
      <w:pPr>
        <w:adjustRightInd w:val="0"/>
        <w:spacing w:line="420" w:lineRule="exact"/>
        <w:ind w:firstLine="480" w:firstLineChars="200"/>
        <w:rPr>
          <w:rFonts w:ascii="楷体" w:hAnsi="楷体" w:eastAsia="楷体"/>
          <w:sz w:val="24"/>
        </w:rPr>
      </w:pPr>
      <w:r>
        <w:rPr>
          <w:rFonts w:hint="eastAsia" w:ascii="楷体" w:hAnsi="楷体" w:eastAsia="楷体"/>
          <w:sz w:val="24"/>
        </w:rPr>
        <w:t>（二）境外学术会议。发表会议论文者，报销往返差旅费、住宿费以及会务费（会务费最高上限20</w:t>
      </w:r>
      <w:r>
        <w:rPr>
          <w:rFonts w:ascii="楷体" w:hAnsi="楷体" w:eastAsia="楷体"/>
          <w:sz w:val="24"/>
        </w:rPr>
        <w:t>0</w:t>
      </w:r>
      <w:r>
        <w:rPr>
          <w:rFonts w:hint="eastAsia" w:ascii="楷体" w:hAnsi="楷体" w:eastAsia="楷体"/>
          <w:sz w:val="24"/>
        </w:rPr>
        <w:t>0元人民币），须符合相关财务报销规定，不含市内交通。应邀担任学术会议特邀嘉宾、学术主持、学术评议人等，报销往返差旅费、住宿费，须符合相关财务报销规定，不含市内交通，不报销会务费。</w:t>
      </w:r>
    </w:p>
    <w:p>
      <w:pPr>
        <w:adjustRightInd w:val="0"/>
        <w:spacing w:line="420" w:lineRule="exact"/>
        <w:ind w:firstLine="480" w:firstLineChars="200"/>
        <w:rPr>
          <w:rFonts w:ascii="楷体" w:hAnsi="楷体" w:eastAsia="楷体"/>
          <w:sz w:val="24"/>
        </w:rPr>
      </w:pPr>
      <w:r>
        <w:rPr>
          <w:rFonts w:hint="eastAsia" w:ascii="楷体" w:hAnsi="楷体" w:eastAsia="楷体"/>
          <w:sz w:val="24"/>
        </w:rPr>
        <w:t>（三）本条人员一般要求近三年内在相关学科的一级期刊（A、B）或CSSCI期刊正式发表有与所属学科（研究方向）有较大关联度的学术论文，或主持相关的省部级（含）以上课题，</w:t>
      </w:r>
      <w:r>
        <w:rPr>
          <w:rFonts w:ascii="楷体" w:hAnsi="楷体" w:eastAsia="楷体"/>
          <w:sz w:val="24"/>
        </w:rPr>
        <w:t>中级职称及以下</w:t>
      </w:r>
      <w:r>
        <w:rPr>
          <w:rFonts w:hint="eastAsia" w:ascii="楷体" w:hAnsi="楷体" w:eastAsia="楷体"/>
          <w:sz w:val="24"/>
        </w:rPr>
        <w:t>人员可以放宽至核心期刊论文或有市厅级课题或校级教学类课题立项，报销内容中可以申请领取会议期间的差旅补贴。否则，一律不同意申领差旅补贴。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第十三条  参加高规格的艺术展览活动。目前暂限于境内相关活动，且展览活动符合所属学科的基本范畴（学院特别指派者例外）。凡商业展览，一律不予考虑。基本条件：经学院同意。</w:t>
      </w:r>
    </w:p>
    <w:p>
      <w:pPr>
        <w:adjustRightInd w:val="0"/>
        <w:spacing w:line="420" w:lineRule="exact"/>
        <w:ind w:firstLine="480" w:firstLineChars="200"/>
        <w:rPr>
          <w:rFonts w:ascii="楷体" w:hAnsi="楷体" w:eastAsia="楷体"/>
          <w:sz w:val="24"/>
        </w:rPr>
      </w:pPr>
      <w:r>
        <w:rPr>
          <w:rFonts w:hint="eastAsia" w:ascii="楷体" w:hAnsi="楷体" w:eastAsia="楷体"/>
          <w:sz w:val="24"/>
        </w:rPr>
        <w:t>（一）申请使用情形之一：应邀出席（以邀请函或入选证书等为依据)。展览层级目前暂限于以下机构（组织）主办的专业展览，国务院学位办、全国教指委（研究生、本科）、教育部、文化部、中国文联、国家级艺术家协会，以及其他等同级别。凡有作品入选参展者，报销往返差旅费、住宿费（一般限于3天以内）,须符合相关财务报销规定，不含市内交通，可以申领差旅补贴。应邀担任展览评委、特邀嘉宾、学术主持、学术评议人等，报销往返差旅费、住宿费，须符合相关财务报销规定，不含市内交通，不申领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（二）申请使用情形之二：专业观摩</w:t>
      </w:r>
      <w:r>
        <w:rPr>
          <w:rFonts w:ascii="楷体" w:hAnsi="楷体" w:eastAsia="楷体"/>
          <w:sz w:val="24"/>
        </w:rPr>
        <w:t>（</w:t>
      </w:r>
      <w:r>
        <w:rPr>
          <w:rFonts w:hint="eastAsia" w:ascii="楷体" w:hAnsi="楷体" w:eastAsia="楷体"/>
          <w:sz w:val="24"/>
        </w:rPr>
        <w:t>以门票、观摩场景照片为依据）。国家一级美术馆、博物馆、展览馆等举办的重大专业展览，其展览主题内容与观摩者的研究方向密切相关。报销往返差旅费</w:t>
      </w:r>
      <w:r>
        <w:rPr>
          <w:rFonts w:ascii="楷体" w:hAnsi="楷体" w:eastAsia="楷体"/>
          <w:sz w:val="24"/>
        </w:rPr>
        <w:t>（</w:t>
      </w:r>
      <w:r>
        <w:rPr>
          <w:rFonts w:hint="eastAsia" w:ascii="楷体" w:hAnsi="楷体" w:eastAsia="楷体"/>
          <w:sz w:val="24"/>
        </w:rPr>
        <w:t>不含市内交通），须符合相关财务报销规定，给予住宿费报销1天、差旅补贴申领1天。</w:t>
      </w:r>
    </w:p>
    <w:p>
      <w:pPr>
        <w:adjustRightInd w:val="0"/>
        <w:spacing w:line="420" w:lineRule="exact"/>
        <w:ind w:firstLine="480" w:firstLineChars="200"/>
        <w:rPr>
          <w:rFonts w:ascii="楷体" w:hAnsi="楷体" w:eastAsia="楷体"/>
          <w:sz w:val="24"/>
        </w:rPr>
      </w:pPr>
      <w:r>
        <w:rPr>
          <w:rFonts w:hint="eastAsia" w:ascii="楷体" w:hAnsi="楷体" w:eastAsia="楷体"/>
          <w:sz w:val="24"/>
        </w:rPr>
        <w:t>（三）申请使用情形之三：凡近五年内入选过全国、全省美展（届展）或国家级单项（专题）展、重要国际展赛，或近五年内在相关学科的核心期刊、一级期刊正式发表过与所属学科（研究方向）有较大关联度的学术论文，或主持相关的市厅级（含）以上课题，限于一年一次；若无前述资格，限于两年一次。</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第十四条  带领学生参加境内外学术会议、重大专业展览。每人每两年可申请使用一次（学院特别指派者例外）。基本条件：所带领的学生须有会议论文正式发表，或相关作品入选参展</w:t>
      </w:r>
      <w:r>
        <w:rPr>
          <w:rFonts w:ascii="楷体" w:hAnsi="楷体" w:eastAsia="楷体"/>
          <w:sz w:val="24"/>
        </w:rPr>
        <w:t>；</w:t>
      </w:r>
      <w:r>
        <w:rPr>
          <w:rFonts w:hint="eastAsia" w:ascii="楷体" w:hAnsi="楷体" w:eastAsia="楷体"/>
          <w:sz w:val="24"/>
        </w:rPr>
        <w:t>经学院同意，并经学校相关部门正式批复同意。其他情况，可向学校申请专项资助。</w:t>
      </w:r>
    </w:p>
    <w:p>
      <w:pPr>
        <w:adjustRightInd w:val="0"/>
        <w:spacing w:line="420" w:lineRule="exact"/>
        <w:ind w:firstLine="480" w:firstLineChars="200"/>
        <w:rPr>
          <w:rFonts w:ascii="楷体" w:hAnsi="楷体" w:eastAsia="楷体"/>
          <w:sz w:val="24"/>
        </w:rPr>
      </w:pPr>
      <w:r>
        <w:rPr>
          <w:rFonts w:hint="eastAsia" w:ascii="楷体" w:hAnsi="楷体" w:eastAsia="楷体"/>
          <w:sz w:val="24"/>
        </w:rPr>
        <w:t>（一）境内学术会议、专业展览。带队教师（限一次1人），报销往返差旅费、住宿费以及会务费（会务费最高上限1200元人民币），须符合相关财务报销规定，不含市内交通。发表成果（论文、作品）的学生，报销往返差旅费、住宿费以及会务费（会务费最高上限1200元人民币），须符合相关财务报销规定，不含市内交通。</w:t>
      </w:r>
    </w:p>
    <w:p>
      <w:pPr>
        <w:adjustRightInd w:val="0"/>
        <w:spacing w:line="420" w:lineRule="exact"/>
        <w:ind w:firstLine="480" w:firstLineChars="200"/>
        <w:rPr>
          <w:rFonts w:ascii="楷体" w:hAnsi="楷体" w:eastAsia="楷体"/>
          <w:sz w:val="24"/>
        </w:rPr>
      </w:pPr>
      <w:r>
        <w:rPr>
          <w:rFonts w:hint="eastAsia" w:ascii="楷体" w:hAnsi="楷体" w:eastAsia="楷体"/>
          <w:sz w:val="24"/>
        </w:rPr>
        <w:t>（二）境外学术会议、专业展览。带队教师（限一次1人），报销往返差旅费、住宿费以及会务费（会务费最高上限2000元人民币），须符合相关财务报销规定，不含市内交通。发表成果（论文、作品）的学生，报销往返差旅费、住宿费以及会务费、</w:t>
      </w:r>
      <w:r>
        <w:rPr>
          <w:rFonts w:ascii="楷体" w:hAnsi="楷体" w:eastAsia="楷体"/>
          <w:sz w:val="24"/>
        </w:rPr>
        <w:t>（</w:t>
      </w:r>
      <w:r>
        <w:rPr>
          <w:rFonts w:hint="eastAsia" w:ascii="楷体" w:hAnsi="楷体" w:eastAsia="楷体"/>
          <w:sz w:val="24"/>
        </w:rPr>
        <w:t>会务费最高上限2000元人民币），须符合相关财务报销规定，不含市内交通。</w:t>
      </w:r>
    </w:p>
    <w:p>
      <w:pPr>
        <w:adjustRightInd w:val="0"/>
        <w:spacing w:line="420" w:lineRule="exact"/>
        <w:ind w:firstLine="480" w:firstLineChars="200"/>
        <w:rPr>
          <w:rFonts w:ascii="楷体" w:hAnsi="楷体" w:eastAsia="楷体"/>
          <w:sz w:val="24"/>
        </w:rPr>
      </w:pPr>
      <w:r>
        <w:rPr>
          <w:rFonts w:hint="eastAsia" w:ascii="楷体" w:hAnsi="楷体" w:eastAsia="楷体"/>
          <w:sz w:val="24"/>
        </w:rPr>
        <w:t>（三）本条人员，带队教师凡在近三年内在相关学科的核心期刊、</w:t>
      </w:r>
      <w:r>
        <w:rPr>
          <w:rFonts w:ascii="楷体" w:hAnsi="楷体" w:eastAsia="楷体"/>
          <w:sz w:val="24"/>
        </w:rPr>
        <w:t>一</w:t>
      </w:r>
      <w:r>
        <w:rPr>
          <w:rFonts w:hint="eastAsia" w:ascii="楷体" w:hAnsi="楷体" w:eastAsia="楷体"/>
          <w:sz w:val="24"/>
        </w:rPr>
        <w:t>级期刊正式发表过与所属学科（研究方向）有较大关联度的学术论文，或主持相关的省部级（含）以上课题，或指导学生曾获得省级优秀学位论文，报销内容中可以申请领取会议期间的差旅补贴；凡学生，则须在校期间曾发表核心期刊论文，报销内容中可以申请领取会议期间的差旅补贴。否则，一律不同意申领差旅补贴。</w:t>
      </w:r>
    </w:p>
    <w:p>
      <w:pPr>
        <w:adjustRightInd w:val="0"/>
        <w:spacing w:line="420" w:lineRule="exact"/>
        <w:ind w:firstLine="480" w:firstLineChars="200"/>
        <w:rPr>
          <w:rFonts w:ascii="楷体" w:hAnsi="楷体" w:eastAsia="楷体"/>
          <w:sz w:val="24"/>
        </w:rPr>
      </w:pPr>
      <w:r>
        <w:rPr>
          <w:rFonts w:hint="eastAsia" w:ascii="楷体" w:hAnsi="楷体" w:eastAsia="楷体"/>
          <w:sz w:val="24"/>
        </w:rPr>
        <w:t>（四）本条人员，带队教师凡在近五年内出现过三级教学事故一次(含)以上，或所指导的研究生中曾出现两人次（含）以上的学位论文双盲评议不合格情况，或所指导学位论文在省学位办抽检中出现定性为“存在问题学位论文”的情况，或所指导的研究生学位论文查重环节出现过较为严重的学术不端行为（涉嫌抄袭律在35%以上）等严重违背学术道德的情况，三年内取消本条申请资格；学生在校期间凡受到学校正式纪律处分（含）等较为严重的违法违纪行为，或涉及有较为明显的学术不端行为情况，一律取消本条申请资格。</w:t>
      </w:r>
    </w:p>
    <w:p>
      <w:pPr>
        <w:adjustRightInd w:val="0"/>
        <w:spacing w:line="420" w:lineRule="exact"/>
        <w:ind w:firstLine="480" w:firstLineChars="200"/>
        <w:rPr>
          <w:rFonts w:ascii="楷体" w:hAnsi="楷体" w:eastAsia="楷体"/>
          <w:sz w:val="24"/>
        </w:rPr>
      </w:pPr>
    </w:p>
    <w:p>
      <w:pPr>
        <w:adjustRightInd w:val="0"/>
        <w:spacing w:line="420" w:lineRule="exact"/>
        <w:jc w:val="center"/>
        <w:rPr>
          <w:rFonts w:ascii="楷体" w:hAnsi="楷体" w:eastAsia="楷体"/>
          <w:b/>
          <w:sz w:val="28"/>
          <w:szCs w:val="28"/>
        </w:rPr>
      </w:pPr>
      <w:r>
        <w:rPr>
          <w:rFonts w:hint="eastAsia" w:ascii="楷体" w:hAnsi="楷体" w:eastAsia="楷体"/>
          <w:b/>
          <w:sz w:val="28"/>
          <w:szCs w:val="28"/>
        </w:rPr>
        <w:t>第四章  附则</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第十五条  凡学校或学院因工作需要特别安排者，另议。凡已获得学校相关资助者，相关费用不得重复申领开支。</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第十六条  学科建设经费实行一级学科负责人负责、学院院长会签制，学院相关职能科室须服务和配合学科负责人具体落实。</w:t>
      </w:r>
    </w:p>
    <w:p>
      <w:pPr>
        <w:adjustRightInd w:val="0"/>
        <w:spacing w:line="420" w:lineRule="exact"/>
        <w:ind w:firstLine="480" w:firstLineChars="200"/>
        <w:rPr>
          <w:rFonts w:ascii="楷体" w:hAnsi="楷体" w:eastAsia="楷体"/>
          <w:sz w:val="24"/>
        </w:rPr>
      </w:pPr>
      <w:r>
        <w:rPr>
          <w:rFonts w:hint="eastAsia" w:ascii="楷体" w:hAnsi="楷体" w:eastAsia="楷体"/>
          <w:sz w:val="24"/>
        </w:rPr>
        <w:t>第十七条  学科建设经费的一切列支，须符合上级部门的相关管理规定。本细则如与上级部门规定相抵触，一律按上级规定办理。</w:t>
      </w:r>
    </w:p>
    <w:p>
      <w:pPr>
        <w:adjustRightInd w:val="0"/>
        <w:spacing w:line="420" w:lineRule="exact"/>
        <w:ind w:firstLine="480" w:firstLineChars="200"/>
        <w:rPr>
          <w:rFonts w:hint="eastAsia" w:ascii="楷体" w:hAnsi="楷体" w:eastAsia="楷体"/>
          <w:sz w:val="24"/>
        </w:rPr>
      </w:pPr>
      <w:r>
        <w:rPr>
          <w:rFonts w:hint="eastAsia" w:ascii="楷体" w:hAnsi="楷体" w:eastAsia="楷体"/>
          <w:sz w:val="24"/>
        </w:rPr>
        <w:t>第十八条  学科下属各专业方向的研究生、本科生应邀参加境外学术会议，经导师推荐和院学工部门审核，报经学校有关职能部门同意，在执行学校相关规定（政策）的基础上，所属学科建设经费酌情资助；应邀参加境内学术会议，经导师推荐和院学工办审核，参照本暂行细则的相关规定执行。</w:t>
      </w:r>
    </w:p>
    <w:p>
      <w:pPr>
        <w:adjustRightInd w:val="0"/>
        <w:spacing w:line="420" w:lineRule="exact"/>
        <w:ind w:firstLine="480" w:firstLineChars="200"/>
        <w:rPr>
          <w:rFonts w:ascii="楷体" w:hAnsi="楷体" w:eastAsia="楷体"/>
          <w:sz w:val="24"/>
        </w:rPr>
      </w:pPr>
      <w:r>
        <w:rPr>
          <w:rFonts w:hint="eastAsia" w:ascii="楷体" w:hAnsi="楷体" w:eastAsia="楷体"/>
          <w:sz w:val="24"/>
        </w:rPr>
        <w:t>十九条  本细则由学院学科建设办公室负责解释，自发布之日起施行。</w:t>
      </w:r>
    </w:p>
    <w:p>
      <w:pPr>
        <w:pStyle w:val="2"/>
        <w:spacing w:line="420" w:lineRule="exact"/>
        <w:ind w:left="0"/>
        <w:jc w:val="both"/>
        <w:rPr>
          <w:rFonts w:ascii="仿宋" w:hAnsi="仿宋" w:eastAsia="仿宋"/>
          <w:lang w:val="en-US"/>
        </w:rPr>
      </w:pPr>
      <w:r>
        <w:rPr>
          <w:rFonts w:hint="eastAsia" w:ascii="楷体" w:hAnsi="楷体" w:eastAsia="楷体"/>
          <w:sz w:val="24"/>
          <w:szCs w:val="24"/>
        </w:rPr>
        <w:t xml:space="preserve">   </w:t>
      </w:r>
    </w:p>
    <w:p>
      <w:pPr>
        <w:pStyle w:val="2"/>
        <w:spacing w:line="420" w:lineRule="exact"/>
        <w:rPr>
          <w:rFonts w:ascii="仿宋" w:hAnsi="仿宋" w:eastAsia="仿宋"/>
          <w:lang w:val="en-US"/>
        </w:rPr>
      </w:pPr>
    </w:p>
    <w:p>
      <w:pPr>
        <w:autoSpaceDE w:val="0"/>
        <w:autoSpaceDN w:val="0"/>
        <w:spacing w:before="1" w:line="420" w:lineRule="exact"/>
        <w:ind w:left="539"/>
        <w:jc w:val="left"/>
        <w:rPr>
          <w:rFonts w:hint="eastAsia" w:ascii="Arial Unicode MS" w:hAnsi="Arial Unicode MS" w:eastAsia="Arial Unicode MS" w:cs="Arial Unicode MS"/>
          <w:color w:val="0563C1"/>
          <w:kern w:val="0"/>
          <w:sz w:val="24"/>
          <w:u w:val="single" w:color="0563C1"/>
          <w:lang w:val="zh-CN" w:bidi="zh-CN"/>
        </w:rPr>
      </w:pPr>
    </w:p>
    <w:p>
      <w:pPr>
        <w:autoSpaceDE w:val="0"/>
        <w:autoSpaceDN w:val="0"/>
        <w:spacing w:before="1" w:line="420" w:lineRule="exact"/>
        <w:ind w:left="539"/>
        <w:jc w:val="left"/>
        <w:rPr>
          <w:rFonts w:hint="eastAsia" w:ascii="Arial Unicode MS" w:hAnsi="Arial Unicode MS" w:eastAsia="Arial Unicode MS" w:cs="Arial Unicode MS"/>
          <w:color w:val="0563C1"/>
          <w:kern w:val="0"/>
          <w:sz w:val="24"/>
          <w:u w:val="single" w:color="0563C1"/>
          <w:lang w:val="zh-CN" w:bidi="zh-CN"/>
        </w:rPr>
      </w:pPr>
    </w:p>
    <w:p>
      <w:pPr>
        <w:autoSpaceDE w:val="0"/>
        <w:autoSpaceDN w:val="0"/>
        <w:spacing w:before="1" w:line="420" w:lineRule="exact"/>
        <w:ind w:left="539"/>
        <w:jc w:val="left"/>
        <w:rPr>
          <w:rFonts w:hint="eastAsia" w:ascii="Arial Unicode MS" w:hAnsi="Arial Unicode MS" w:eastAsia="Arial Unicode MS" w:cs="Arial Unicode MS"/>
          <w:color w:val="0563C1"/>
          <w:kern w:val="0"/>
          <w:sz w:val="24"/>
          <w:u w:val="single" w:color="0563C1"/>
          <w:lang w:val="zh-CN" w:bidi="zh-CN"/>
        </w:rPr>
      </w:pPr>
    </w:p>
    <w:p>
      <w:pPr>
        <w:autoSpaceDE w:val="0"/>
        <w:autoSpaceDN w:val="0"/>
        <w:spacing w:before="1" w:line="420" w:lineRule="exact"/>
        <w:ind w:left="539"/>
        <w:jc w:val="left"/>
        <w:rPr>
          <w:rFonts w:hint="eastAsia" w:ascii="Arial Unicode MS" w:hAnsi="Arial Unicode MS" w:eastAsia="Arial Unicode MS" w:cs="Arial Unicode MS"/>
          <w:color w:val="0563C1"/>
          <w:kern w:val="0"/>
          <w:sz w:val="24"/>
          <w:u w:val="single" w:color="0563C1"/>
          <w:lang w:val="zh-CN" w:bidi="zh-CN"/>
        </w:rPr>
      </w:pPr>
    </w:p>
    <w:p>
      <w:pPr>
        <w:autoSpaceDE w:val="0"/>
        <w:autoSpaceDN w:val="0"/>
        <w:spacing w:before="1" w:line="420" w:lineRule="exact"/>
        <w:ind w:left="539"/>
        <w:jc w:val="left"/>
        <w:rPr>
          <w:rFonts w:ascii="Arial Unicode MS" w:hAnsi="Arial Unicode MS" w:eastAsia="Arial Unicode MS" w:cs="Arial Unicode MS"/>
          <w:color w:val="0563C1"/>
          <w:kern w:val="0"/>
          <w:sz w:val="24"/>
          <w:u w:val="single" w:color="0563C1"/>
          <w:lang w:val="zh-CN" w:bidi="zh-CN"/>
        </w:rPr>
      </w:pPr>
    </w:p>
    <w:p>
      <w:pPr>
        <w:spacing w:line="420" w:lineRule="exact"/>
        <w:jc w:val="left"/>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0</wp:posOffset>
                </wp:positionV>
                <wp:extent cx="5600700" cy="0"/>
                <wp:effectExtent l="9525" t="11430" r="9525" b="762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0pt;height:0pt;width:441pt;z-index:251661312;mso-width-relative:page;mso-height-relative:page;" filled="f" stroked="t" coordsize="21600,21600" o:gfxdata="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EyxWW1AAAAAUBAAAPAAAAAAAAAAEAIAAAACIAAABkcnMvZG93bnJl&#10;di54bWxQSwECFAAUAAAACACHTuJAwIKSUsgBAABcAwAADgAAAAAAAAABACAAAAAjAQAAZHJzL2Uy&#10;b0RvYy54bWxQSwUGAAAAAAYABgBZAQAAXQUAAAAA&#10;">
                <v:fill on="f" focussize="0,0"/>
                <v:stroke color="#000000" joinstyle="round"/>
                <v:imagedata o:title=""/>
                <o:lock v:ext="edit" aspectratio="f"/>
              </v:line>
            </w:pict>
          </mc:Fallback>
        </mc:AlternateContent>
      </w:r>
      <w:r>
        <w:rPr>
          <w:rFonts w:ascii="仿宋" w:hAnsi="仿宋" w:eastAsia="仿宋"/>
          <w:sz w:val="28"/>
          <w:szCs w:val="28"/>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396240</wp:posOffset>
                </wp:positionV>
                <wp:extent cx="5600700" cy="0"/>
                <wp:effectExtent l="9525" t="7620" r="9525" b="1143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31.2pt;height:0pt;width:441pt;z-index:251662336;mso-width-relative:page;mso-height-relative:page;" filled="f" stroked="t" coordsize="21600,21600" o:gfxdata="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tqnh1gAAAAkBAAAPAAAAAAAAAAEAIAAAACIAAABkcnMvZG93&#10;bnJldi54bWxQSwECFAAUAAAACACHTuJAs/m8h8kBAABcAwAADgAAAAAAAAABACAAAAAlAQAAZHJz&#10;L2Uyb0RvYy54bWxQSwUGAAAAAAYABgBZAQAAYAUAAAAA&#10;">
                <v:fill on="f" focussize="0,0"/>
                <v:stroke color="#000000" joinstyle="round"/>
                <v:imagedata o:title=""/>
                <o:lock v:ext="edit" aspectratio="f"/>
              </v:line>
            </w:pict>
          </mc:Fallback>
        </mc:AlternateContent>
      </w:r>
      <w:r>
        <w:rPr>
          <w:rFonts w:hint="eastAsia" w:ascii="仿宋" w:hAnsi="仿宋" w:eastAsia="仿宋"/>
          <w:sz w:val="28"/>
          <w:szCs w:val="28"/>
        </w:rPr>
        <w:t>杭州师范大学美术学院综合办公室     2019年10月22日印发</w:t>
      </w:r>
    </w:p>
    <w:p>
      <w:pPr>
        <w:widowControl/>
        <w:adjustRightInd w:val="0"/>
        <w:snapToGrid w:val="0"/>
        <w:spacing w:line="420" w:lineRule="exact"/>
        <w:jc w:val="left"/>
        <w:rPr>
          <w:rFonts w:ascii="仿宋" w:hAnsi="仿宋" w:eastAsia="仿宋" w:cs="宋体"/>
          <w:kern w:val="0"/>
          <w:szCs w:val="21"/>
        </w:rPr>
      </w:pPr>
    </w:p>
    <w:p>
      <w:pPr>
        <w:pStyle w:val="2"/>
        <w:spacing w:line="420" w:lineRule="exact"/>
        <w:rPr>
          <w:rFonts w:ascii="仿宋" w:hAnsi="仿宋" w:eastAsia="仿宋"/>
          <w:lang w:val="en-US"/>
        </w:rPr>
      </w:pPr>
    </w:p>
    <w:sectPr>
      <w:footerReference r:id="rId3" w:type="default"/>
      <w:pgSz w:w="11910" w:h="16840"/>
      <w:pgMar w:top="1531" w:right="1531" w:bottom="1531" w:left="153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隶变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5"/>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A4"/>
    <w:rsid w:val="000641BF"/>
    <w:rsid w:val="000652AA"/>
    <w:rsid w:val="00127888"/>
    <w:rsid w:val="001E2502"/>
    <w:rsid w:val="001E6EDA"/>
    <w:rsid w:val="001F63CC"/>
    <w:rsid w:val="0021405D"/>
    <w:rsid w:val="00247154"/>
    <w:rsid w:val="0025522F"/>
    <w:rsid w:val="002B4787"/>
    <w:rsid w:val="002B67B0"/>
    <w:rsid w:val="003530F4"/>
    <w:rsid w:val="003D5555"/>
    <w:rsid w:val="004E2DC2"/>
    <w:rsid w:val="004F2DD2"/>
    <w:rsid w:val="00545FA4"/>
    <w:rsid w:val="006D400E"/>
    <w:rsid w:val="006E65CC"/>
    <w:rsid w:val="00723F08"/>
    <w:rsid w:val="00796CAA"/>
    <w:rsid w:val="0083180A"/>
    <w:rsid w:val="008B438D"/>
    <w:rsid w:val="00A579CD"/>
    <w:rsid w:val="00D35995"/>
    <w:rsid w:val="00D862E1"/>
    <w:rsid w:val="00EC3019"/>
    <w:rsid w:val="00FA265F"/>
    <w:rsid w:val="00FE4628"/>
    <w:rsid w:val="5DBA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1"/>
    <w:pPr>
      <w:autoSpaceDE w:val="0"/>
      <w:autoSpaceDN w:val="0"/>
      <w:spacing w:before="44"/>
      <w:ind w:left="1399" w:right="1881"/>
      <w:jc w:val="center"/>
      <w:outlineLvl w:val="0"/>
    </w:pPr>
    <w:rPr>
      <w:rFonts w:ascii="宋体" w:hAnsi="宋体" w:cs="宋体"/>
      <w:b/>
      <w:bCs/>
      <w:kern w:val="0"/>
      <w:sz w:val="28"/>
      <w:szCs w:val="28"/>
      <w:lang w:val="zh-CN" w:bidi="zh-CN"/>
    </w:rPr>
  </w:style>
  <w:style w:type="paragraph" w:styleId="3">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qFormat/>
    <w:uiPriority w:val="1"/>
    <w:pPr>
      <w:autoSpaceDE w:val="0"/>
      <w:autoSpaceDN w:val="0"/>
      <w:ind w:left="228"/>
      <w:jc w:val="left"/>
      <w:outlineLvl w:val="2"/>
    </w:pPr>
    <w:rPr>
      <w:rFonts w:ascii="宋体" w:hAnsi="宋体" w:cs="宋体"/>
      <w:b/>
      <w:bCs/>
      <w:kern w:val="0"/>
      <w:sz w:val="24"/>
      <w:lang w:val="zh-CN" w:bidi="zh-CN"/>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9"/>
    <w:qFormat/>
    <w:uiPriority w:val="1"/>
    <w:pPr>
      <w:autoSpaceDE w:val="0"/>
      <w:autoSpaceDN w:val="0"/>
      <w:jc w:val="left"/>
    </w:pPr>
    <w:rPr>
      <w:rFonts w:ascii="宋体" w:hAnsi="宋体" w:cs="宋体"/>
      <w:kern w:val="0"/>
      <w:sz w:val="24"/>
      <w:lang w:val="zh-CN" w:bidi="zh-CN"/>
    </w:rPr>
  </w:style>
  <w:style w:type="paragraph" w:styleId="6">
    <w:name w:val="Date"/>
    <w:basedOn w:val="1"/>
    <w:next w:val="1"/>
    <w:link w:val="13"/>
    <w:semiHidden/>
    <w:unhideWhenUsed/>
    <w:uiPriority w:val="99"/>
    <w:pPr>
      <w:ind w:left="100" w:leftChars="2500"/>
    </w:pPr>
  </w:style>
  <w:style w:type="paragraph" w:styleId="7">
    <w:name w:val="Body Text Indent 2"/>
    <w:basedOn w:val="1"/>
    <w:link w:val="27"/>
    <w:semiHidden/>
    <w:unhideWhenUsed/>
    <w:uiPriority w:val="99"/>
    <w:pPr>
      <w:spacing w:after="120" w:line="480" w:lineRule="auto"/>
      <w:ind w:left="420" w:leftChars="200"/>
    </w:pPr>
  </w:style>
  <w:style w:type="paragraph" w:styleId="8">
    <w:name w:val="Balloon Text"/>
    <w:basedOn w:val="1"/>
    <w:link w:val="25"/>
    <w:semiHidden/>
    <w:unhideWhenUsed/>
    <w:qFormat/>
    <w:uiPriority w:val="99"/>
    <w:rPr>
      <w:sz w:val="18"/>
      <w:szCs w:val="18"/>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日期 Char"/>
    <w:basedOn w:val="12"/>
    <w:link w:val="6"/>
    <w:semiHidden/>
    <w:qFormat/>
    <w:uiPriority w:val="99"/>
    <w:rPr>
      <w:rFonts w:ascii="Times New Roman" w:hAnsi="Times New Roman" w:eastAsia="宋体" w:cs="Times New Roman"/>
      <w:szCs w:val="24"/>
    </w:rPr>
  </w:style>
  <w:style w:type="character" w:customStyle="1" w:styleId="14">
    <w:name w:val="页眉 Char"/>
    <w:basedOn w:val="12"/>
    <w:link w:val="10"/>
    <w:qFormat/>
    <w:uiPriority w:val="99"/>
    <w:rPr>
      <w:rFonts w:ascii="Times New Roman" w:hAnsi="Times New Roman" w:eastAsia="宋体" w:cs="Times New Roman"/>
      <w:sz w:val="18"/>
      <w:szCs w:val="18"/>
    </w:rPr>
  </w:style>
  <w:style w:type="character" w:customStyle="1" w:styleId="15">
    <w:name w:val="页脚 Char"/>
    <w:basedOn w:val="12"/>
    <w:link w:val="9"/>
    <w:uiPriority w:val="99"/>
    <w:rPr>
      <w:rFonts w:ascii="Times New Roman" w:hAnsi="Times New Roman" w:eastAsia="宋体" w:cs="Times New Roman"/>
      <w:sz w:val="18"/>
      <w:szCs w:val="18"/>
    </w:rPr>
  </w:style>
  <w:style w:type="character" w:customStyle="1" w:styleId="16">
    <w:name w:val="标题 1 Char"/>
    <w:basedOn w:val="12"/>
    <w:link w:val="2"/>
    <w:qFormat/>
    <w:uiPriority w:val="1"/>
    <w:rPr>
      <w:rFonts w:ascii="宋体" w:hAnsi="宋体" w:eastAsia="宋体" w:cs="宋体"/>
      <w:b/>
      <w:bCs/>
      <w:kern w:val="0"/>
      <w:sz w:val="28"/>
      <w:szCs w:val="28"/>
      <w:lang w:val="zh-CN" w:bidi="zh-CN"/>
    </w:rPr>
  </w:style>
  <w:style w:type="character" w:customStyle="1" w:styleId="17">
    <w:name w:val="标题 3 Char"/>
    <w:basedOn w:val="12"/>
    <w:link w:val="4"/>
    <w:uiPriority w:val="1"/>
    <w:rPr>
      <w:rFonts w:ascii="宋体" w:hAnsi="宋体" w:eastAsia="宋体" w:cs="宋体"/>
      <w:b/>
      <w:bCs/>
      <w:kern w:val="0"/>
      <w:sz w:val="24"/>
      <w:szCs w:val="24"/>
      <w:lang w:val="zh-CN" w:bidi="zh-CN"/>
    </w:rPr>
  </w:style>
  <w:style w:type="table" w:customStyle="1" w:styleId="18">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19">
    <w:name w:val="正文文本 Char"/>
    <w:basedOn w:val="12"/>
    <w:link w:val="5"/>
    <w:qFormat/>
    <w:uiPriority w:val="1"/>
    <w:rPr>
      <w:rFonts w:ascii="宋体" w:hAnsi="宋体" w:eastAsia="宋体" w:cs="宋体"/>
      <w:kern w:val="0"/>
      <w:sz w:val="24"/>
      <w:szCs w:val="24"/>
      <w:lang w:val="zh-CN" w:bidi="zh-CN"/>
    </w:rPr>
  </w:style>
  <w:style w:type="paragraph" w:styleId="20">
    <w:name w:val="List Paragraph"/>
    <w:basedOn w:val="1"/>
    <w:qFormat/>
    <w:uiPriority w:val="1"/>
    <w:pPr>
      <w:autoSpaceDE w:val="0"/>
      <w:autoSpaceDN w:val="0"/>
      <w:ind w:left="949" w:hanging="242"/>
      <w:jc w:val="left"/>
    </w:pPr>
    <w:rPr>
      <w:rFonts w:ascii="宋体" w:hAnsi="宋体" w:cs="宋体"/>
      <w:kern w:val="0"/>
      <w:sz w:val="22"/>
      <w:szCs w:val="22"/>
      <w:lang w:val="zh-CN" w:bidi="zh-CN"/>
    </w:rPr>
  </w:style>
  <w:style w:type="paragraph" w:customStyle="1" w:styleId="21">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22">
    <w:name w:val="标题 2 Char"/>
    <w:basedOn w:val="12"/>
    <w:link w:val="3"/>
    <w:semiHidden/>
    <w:qFormat/>
    <w:uiPriority w:val="9"/>
    <w:rPr>
      <w:rFonts w:asciiTheme="majorHAnsi" w:hAnsiTheme="majorHAnsi" w:eastAsiaTheme="majorEastAsia" w:cstheme="majorBidi"/>
      <w:b/>
      <w:bCs/>
      <w:sz w:val="32"/>
      <w:szCs w:val="32"/>
    </w:rPr>
  </w:style>
  <w:style w:type="paragraph" w:styleId="23">
    <w:name w:val="No Spacing"/>
    <w:link w:val="24"/>
    <w:qFormat/>
    <w:uiPriority w:val="1"/>
    <w:rPr>
      <w:rFonts w:asciiTheme="minorHAnsi" w:hAnsiTheme="minorHAnsi" w:eastAsiaTheme="minorEastAsia" w:cstheme="minorBidi"/>
      <w:kern w:val="0"/>
      <w:sz w:val="22"/>
      <w:szCs w:val="22"/>
      <w:lang w:val="en-US" w:eastAsia="zh-CN" w:bidi="ar-SA"/>
    </w:rPr>
  </w:style>
  <w:style w:type="character" w:customStyle="1" w:styleId="24">
    <w:name w:val="无间隔 Char"/>
    <w:basedOn w:val="12"/>
    <w:link w:val="23"/>
    <w:uiPriority w:val="1"/>
    <w:rPr>
      <w:kern w:val="0"/>
      <w:sz w:val="22"/>
    </w:rPr>
  </w:style>
  <w:style w:type="character" w:customStyle="1" w:styleId="25">
    <w:name w:val="批注框文本 Char"/>
    <w:basedOn w:val="12"/>
    <w:link w:val="8"/>
    <w:semiHidden/>
    <w:qFormat/>
    <w:uiPriority w:val="99"/>
    <w:rPr>
      <w:rFonts w:ascii="Times New Roman" w:hAnsi="Times New Roman" w:eastAsia="宋体" w:cs="Times New Roman"/>
      <w:sz w:val="18"/>
      <w:szCs w:val="18"/>
    </w:rPr>
  </w:style>
  <w:style w:type="paragraph" w:customStyle="1" w:styleId="26">
    <w:name w:val="Default"/>
    <w:qFormat/>
    <w:uiPriority w:val="0"/>
    <w:pPr>
      <w:widowControl w:val="0"/>
      <w:autoSpaceDE w:val="0"/>
      <w:autoSpaceDN w:val="0"/>
      <w:adjustRightInd w:val="0"/>
    </w:pPr>
    <w:rPr>
      <w:rFonts w:ascii="仿宋" w:hAnsi="仿宋" w:cs="仿宋" w:eastAsiaTheme="minorEastAsia"/>
      <w:color w:val="000000"/>
      <w:kern w:val="0"/>
      <w:sz w:val="24"/>
      <w:szCs w:val="24"/>
      <w:lang w:val="en-US" w:eastAsia="zh-CN" w:bidi="ar-SA"/>
    </w:rPr>
  </w:style>
  <w:style w:type="character" w:customStyle="1" w:styleId="27">
    <w:name w:val="正文文本缩进 2 Char"/>
    <w:basedOn w:val="12"/>
    <w:link w:val="7"/>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545</Words>
  <Characters>3109</Characters>
  <Lines>25</Lines>
  <Paragraphs>7</Paragraphs>
  <TotalTime>102</TotalTime>
  <ScaleCrop>false</ScaleCrop>
  <LinksUpToDate>false</LinksUpToDate>
  <CharactersWithSpaces>3647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2019-06-13T07:57:00Z</dcterms:created>
  <dc:creator>Windows 用户</dc:creator>
  <cp:lastModifiedBy>AA</cp:lastModifiedBy>
  <cp:lastPrinted>2019-07-09T02:43:00Z</cp:lastPrinted>
  <dcterms:modified xsi:type="dcterms:W3CDTF">2019-10-23T08:51:00Z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