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FF0000"/>
          <w:sz w:val="52"/>
          <w:szCs w:val="52"/>
        </w:rPr>
      </w:pPr>
      <w:bookmarkStart w:id="0" w:name="_GoBack"/>
      <w:bookmarkEnd w:id="0"/>
      <w:r>
        <w:rPr>
          <w:rFonts w:ascii="仿宋_GB2312" w:eastAsia="仿宋_GB2312"/>
          <w:color w:val="000000"/>
          <w:sz w:val="13"/>
          <w:szCs w:val="44"/>
        </w:rPr>
        <w:pict>
          <v:shape id="_x0000_i1025" o:spt="136" type="#_x0000_t136" style="height:36.75pt;width:386.25pt;" fillcolor="#FF0000" filled="t" stroked="f" coordsize="21600,21600">
            <v:path/>
            <v:fill on="t" focussize="0,0"/>
            <v:stroke on="f"/>
            <v:imagedata o:title=""/>
            <o:lock v:ext="edit" text="f"/>
            <v:textpath on="t" fitshape="t" fitpath="t" trim="t" xscale="f" string="杭州师范大学美术学院文件" style="font-family:华文中宋;font-size:32pt;font-weight:bold;v-text-align:center;v-text-spacing:78650f;"/>
            <w10:wrap type="none"/>
            <w10:anchorlock/>
          </v:shape>
        </w:pict>
      </w:r>
    </w:p>
    <w:p>
      <w:pPr>
        <w:jc w:val="center"/>
        <w:rPr>
          <w:rFonts w:ascii="仿宋" w:hAnsi="仿宋" w:eastAsia="仿宋" w:cs="仿宋"/>
          <w:color w:val="000000"/>
          <w:kern w:val="0"/>
          <w:sz w:val="31"/>
          <w:szCs w:val="31"/>
        </w:rPr>
      </w:pPr>
    </w:p>
    <w:p>
      <w:pPr>
        <w:jc w:val="center"/>
        <w:rPr>
          <w:rFonts w:ascii="宋体" w:hAnsi="宋体"/>
          <w:sz w:val="30"/>
          <w:szCs w:val="30"/>
        </w:rPr>
      </w:pPr>
      <w:r>
        <w:rPr>
          <w:rFonts w:hint="eastAsia" w:ascii="仿宋" w:hAnsi="仿宋" w:eastAsia="仿宋" w:cs="仿宋"/>
          <w:color w:val="000000"/>
          <w:kern w:val="0"/>
          <w:sz w:val="31"/>
          <w:szCs w:val="31"/>
        </w:rPr>
        <w:t>美院发〔</w:t>
      </w:r>
      <w:r>
        <w:rPr>
          <w:rFonts w:ascii="仿宋" w:hAnsi="仿宋" w:eastAsia="仿宋" w:cs="仿宋"/>
          <w:color w:val="000000"/>
          <w:kern w:val="0"/>
          <w:sz w:val="31"/>
          <w:szCs w:val="31"/>
        </w:rPr>
        <w:t>2019</w:t>
      </w:r>
      <w:r>
        <w:rPr>
          <w:rFonts w:hint="eastAsia" w:ascii="仿宋" w:hAnsi="仿宋" w:eastAsia="仿宋" w:cs="仿宋"/>
          <w:color w:val="000000"/>
          <w:kern w:val="0"/>
          <w:sz w:val="31"/>
          <w:szCs w:val="31"/>
        </w:rPr>
        <w:t>〕11号</w:t>
      </w:r>
    </w:p>
    <w:p>
      <w:pPr>
        <w:jc w:val="center"/>
        <w:rPr>
          <w:rFonts w:asciiTheme="minorEastAsia" w:hAnsiTheme="minorEastAsia" w:eastAsiaTheme="minorEastAsia" w:cstheme="minorBidi"/>
          <w:b/>
          <w:sz w:val="32"/>
          <w:szCs w:val="32"/>
        </w:rPr>
      </w:pPr>
      <w:r>
        <w:rPr>
          <w:rFonts w:hint="eastAsia" w:asciiTheme="minorEastAsia" w:hAnsiTheme="minorEastAsia" w:eastAsiaTheme="minorEastAsia" w:cstheme="minorBidi"/>
          <w:b/>
          <w:sz w:val="32"/>
          <w:szCs w:val="32"/>
        </w:rPr>
        <mc:AlternateContent>
          <mc:Choice Requires="wps">
            <w:drawing>
              <wp:anchor distT="0" distB="0" distL="114300" distR="114300" simplePos="0" relativeHeight="251659264" behindDoc="0" locked="0" layoutInCell="1" allowOverlap="1">
                <wp:simplePos x="0" y="0"/>
                <wp:positionH relativeFrom="column">
                  <wp:posOffset>-82550</wp:posOffset>
                </wp:positionH>
                <wp:positionV relativeFrom="paragraph">
                  <wp:posOffset>221615</wp:posOffset>
                </wp:positionV>
                <wp:extent cx="5600700" cy="0"/>
                <wp:effectExtent l="0" t="19050" r="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8575">
                          <a:solidFill>
                            <a:srgbClr val="FF0000"/>
                          </a:solidFill>
                          <a:round/>
                        </a:ln>
                      </wps:spPr>
                      <wps:bodyPr/>
                    </wps:wsp>
                  </a:graphicData>
                </a:graphic>
              </wp:anchor>
            </w:drawing>
          </mc:Choice>
          <mc:Fallback>
            <w:pict>
              <v:line id="_x0000_s1026" o:spid="_x0000_s1026" o:spt="20" style="position:absolute;left:0pt;margin-left:-6.5pt;margin-top:17.45pt;height:0pt;width:441pt;z-index:251659264;mso-width-relative:page;mso-height-relative:page;" filled="f" stroked="t" coordsize="21600,21600" o:gfxdata="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r0YGvXAAAACQEAAA8AAAAAAAAAAQAgAAAAIgAAAGRycy9k&#10;b3ducmV2LnhtbFBLAQIUABQAAAAIAIdO4kBJppmhygEAAF0DAAAOAAAAAAAAAAEAIAAAACYBAABk&#10;cnMvZTJvRG9jLnhtbFBLBQYAAAAABgAGAFkBAABiBQAAAAA=&#10;">
                <v:fill on="f" focussize="0,0"/>
                <v:stroke weight="2.25pt" color="#FF0000" joinstyle="round"/>
                <v:imagedata o:title=""/>
                <o:lock v:ext="edit" aspectratio="f"/>
              </v:line>
            </w:pict>
          </mc:Fallback>
        </mc:AlternateContent>
      </w:r>
    </w:p>
    <w:p>
      <w:pPr>
        <w:spacing w:line="440" w:lineRule="exact"/>
        <w:rPr>
          <w:sz w:val="44"/>
          <w:szCs w:val="44"/>
        </w:rPr>
      </w:pPr>
    </w:p>
    <w:p>
      <w:pPr>
        <w:ind w:firstLine="643" w:firstLineChars="200"/>
        <w:rPr>
          <w:rFonts w:ascii="黑体" w:hAnsi="黑体" w:eastAsia="黑体" w:cstheme="minorBidi"/>
          <w:b/>
          <w:sz w:val="32"/>
          <w:szCs w:val="32"/>
        </w:rPr>
      </w:pPr>
      <w:r>
        <w:rPr>
          <w:rFonts w:hint="eastAsia" w:ascii="黑体" w:hAnsi="黑体" w:eastAsia="黑体" w:cs="仿宋"/>
          <w:b/>
          <w:color w:val="000000"/>
          <w:kern w:val="0"/>
          <w:sz w:val="32"/>
          <w:szCs w:val="32"/>
        </w:rPr>
        <w:t>关于印发</w:t>
      </w:r>
      <w:r>
        <w:rPr>
          <w:rFonts w:hint="eastAsia" w:ascii="黑体" w:hAnsi="黑体" w:eastAsia="黑体"/>
          <w:b/>
          <w:sz w:val="32"/>
          <w:szCs w:val="32"/>
        </w:rPr>
        <w:t>《</w:t>
      </w:r>
      <w:r>
        <w:rPr>
          <w:rFonts w:hint="eastAsia"/>
          <w:b/>
          <w:sz w:val="32"/>
          <w:szCs w:val="32"/>
        </w:rPr>
        <w:t>美术学院教师课外育人工作考核办法</w:t>
      </w:r>
      <w:r>
        <w:rPr>
          <w:rFonts w:hint="eastAsia" w:ascii="黑体" w:hAnsi="黑体" w:eastAsia="黑体" w:cs="方正隶变简体"/>
          <w:b/>
          <w:bCs/>
          <w:sz w:val="32"/>
          <w:szCs w:val="32"/>
        </w:rPr>
        <w:t>》</w:t>
      </w:r>
      <w:r>
        <w:rPr>
          <w:rFonts w:hint="eastAsia" w:ascii="黑体" w:hAnsi="黑体" w:eastAsia="黑体" w:cstheme="minorBidi"/>
          <w:b/>
          <w:sz w:val="32"/>
          <w:szCs w:val="32"/>
        </w:rPr>
        <w:t>的通知</w:t>
      </w:r>
    </w:p>
    <w:p>
      <w:pPr>
        <w:spacing w:line="300" w:lineRule="exact"/>
        <w:jc w:val="center"/>
        <w:rPr>
          <w:rFonts w:ascii="黑体" w:hAnsi="黑体" w:eastAsia="黑体" w:cstheme="minorBidi"/>
          <w:b/>
          <w:sz w:val="32"/>
          <w:szCs w:val="32"/>
        </w:rPr>
      </w:pPr>
    </w:p>
    <w:p>
      <w:pPr>
        <w:autoSpaceDE w:val="0"/>
        <w:autoSpaceDN w:val="0"/>
        <w:adjustRightInd w:val="0"/>
        <w:spacing w:line="540" w:lineRule="exact"/>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学院各部门（内设机构）：</w:t>
      </w:r>
    </w:p>
    <w:p>
      <w:pPr>
        <w:autoSpaceDE w:val="0"/>
        <w:autoSpaceDN w:val="0"/>
        <w:adjustRightInd w:val="0"/>
        <w:spacing w:line="540" w:lineRule="exact"/>
        <w:ind w:firstLine="555"/>
        <w:jc w:val="left"/>
        <w:rPr>
          <w:rFonts w:ascii="仿宋" w:hAnsi="仿宋" w:eastAsia="仿宋" w:cs="仿宋"/>
          <w:color w:val="000000"/>
          <w:kern w:val="0"/>
          <w:sz w:val="28"/>
          <w:szCs w:val="28"/>
        </w:rPr>
      </w:pPr>
      <w:r>
        <w:rPr>
          <w:rFonts w:hint="eastAsia" w:ascii="仿宋" w:hAnsi="仿宋" w:eastAsia="仿宋"/>
          <w:sz w:val="28"/>
          <w:szCs w:val="28"/>
        </w:rPr>
        <w:t>《美术学院教师课外育人考工作考核办法</w:t>
      </w:r>
      <w:r>
        <w:rPr>
          <w:rFonts w:hint="eastAsia" w:ascii="仿宋" w:hAnsi="仿宋" w:eastAsia="仿宋" w:cs="方正隶变简体"/>
          <w:bCs/>
          <w:sz w:val="28"/>
          <w:szCs w:val="28"/>
        </w:rPr>
        <w:t>(试行)》</w:t>
      </w:r>
      <w:r>
        <w:rPr>
          <w:rFonts w:hint="eastAsia" w:ascii="仿宋" w:hAnsi="仿宋" w:eastAsia="仿宋" w:cs="仿宋"/>
          <w:color w:val="000000"/>
          <w:kern w:val="0"/>
          <w:sz w:val="28"/>
          <w:szCs w:val="28"/>
        </w:rPr>
        <w:t>已经学院党政联席会议审议通过，现予印发，请认真执行。</w:t>
      </w:r>
    </w:p>
    <w:p>
      <w:pPr>
        <w:autoSpaceDE w:val="0"/>
        <w:autoSpaceDN w:val="0"/>
        <w:adjustRightInd w:val="0"/>
        <w:spacing w:line="540" w:lineRule="exact"/>
        <w:ind w:firstLine="555"/>
        <w:jc w:val="left"/>
        <w:rPr>
          <w:rFonts w:ascii="仿宋" w:hAnsi="仿宋" w:eastAsia="仿宋" w:cs="仿宋"/>
          <w:color w:val="000000"/>
          <w:kern w:val="0"/>
          <w:sz w:val="28"/>
          <w:szCs w:val="28"/>
        </w:rPr>
      </w:pPr>
    </w:p>
    <w:p>
      <w:pPr>
        <w:autoSpaceDE w:val="0"/>
        <w:autoSpaceDN w:val="0"/>
        <w:adjustRightInd w:val="0"/>
        <w:ind w:firstLine="555"/>
        <w:jc w:val="left"/>
        <w:rPr>
          <w:rFonts w:ascii="仿宋" w:hAnsi="仿宋" w:eastAsia="仿宋" w:cs="仿宋"/>
          <w:color w:val="000000"/>
          <w:kern w:val="0"/>
          <w:sz w:val="28"/>
          <w:szCs w:val="28"/>
        </w:rPr>
      </w:pPr>
    </w:p>
    <w:p>
      <w:pPr>
        <w:autoSpaceDE w:val="0"/>
        <w:autoSpaceDN w:val="0"/>
        <w:adjustRightInd w:val="0"/>
        <w:ind w:firstLine="555"/>
        <w:jc w:val="left"/>
        <w:rPr>
          <w:rFonts w:ascii="仿宋" w:hAnsi="仿宋" w:eastAsia="仿宋" w:cs="仿宋"/>
          <w:color w:val="000000"/>
          <w:kern w:val="0"/>
          <w:sz w:val="28"/>
          <w:szCs w:val="28"/>
        </w:rPr>
      </w:pPr>
    </w:p>
    <w:p>
      <w:pPr>
        <w:autoSpaceDE w:val="0"/>
        <w:autoSpaceDN w:val="0"/>
        <w:adjustRightInd w:val="0"/>
        <w:ind w:firstLine="555"/>
        <w:jc w:val="left"/>
        <w:rPr>
          <w:rFonts w:ascii="仿宋" w:hAnsi="仿宋" w:eastAsia="仿宋" w:cs="仿宋"/>
          <w:color w:val="000000"/>
          <w:kern w:val="0"/>
          <w:sz w:val="28"/>
          <w:szCs w:val="28"/>
        </w:rPr>
      </w:pPr>
    </w:p>
    <w:p>
      <w:pPr>
        <w:spacing w:line="640" w:lineRule="exact"/>
        <w:rPr>
          <w:rFonts w:ascii="仿宋" w:hAnsi="仿宋" w:eastAsia="仿宋" w:cstheme="minorBidi"/>
          <w:sz w:val="28"/>
          <w:szCs w:val="28"/>
        </w:rPr>
      </w:pPr>
      <w:r>
        <w:rPr>
          <w:rFonts w:hint="eastAsia" w:ascii="仿宋" w:hAnsi="仿宋" w:eastAsia="仿宋" w:cstheme="minorBidi"/>
          <w:sz w:val="28"/>
          <w:szCs w:val="28"/>
        </w:rPr>
        <w:t xml:space="preserve">                                 </w:t>
      </w:r>
    </w:p>
    <w:p>
      <w:pPr>
        <w:spacing w:line="640" w:lineRule="exact"/>
        <w:ind w:firstLine="4760" w:firstLineChars="1700"/>
        <w:rPr>
          <w:rFonts w:ascii="仿宋" w:hAnsi="仿宋" w:eastAsia="仿宋" w:cstheme="minorBidi"/>
          <w:sz w:val="28"/>
          <w:szCs w:val="28"/>
        </w:rPr>
      </w:pPr>
      <w:r>
        <w:rPr>
          <w:rFonts w:hint="eastAsia" w:ascii="仿宋" w:hAnsi="仿宋" w:eastAsia="仿宋" w:cstheme="minorBidi"/>
          <w:sz w:val="28"/>
          <w:szCs w:val="28"/>
        </w:rPr>
        <w:t>杭州师范大学美术学院</w:t>
      </w:r>
    </w:p>
    <w:p>
      <w:pPr>
        <w:autoSpaceDE w:val="0"/>
        <w:autoSpaceDN w:val="0"/>
        <w:adjustRightInd w:val="0"/>
        <w:ind w:firstLine="555"/>
        <w:jc w:val="left"/>
        <w:rPr>
          <w:rFonts w:ascii="仿宋" w:hAnsi="仿宋" w:eastAsia="仿宋" w:cstheme="minorBidi"/>
          <w:sz w:val="28"/>
          <w:szCs w:val="28"/>
        </w:rPr>
      </w:pPr>
      <w:r>
        <w:rPr>
          <w:rFonts w:hint="eastAsia" w:ascii="仿宋" w:hAnsi="仿宋" w:eastAsia="仿宋" w:cstheme="minorBidi"/>
          <w:sz w:val="28"/>
          <w:szCs w:val="28"/>
        </w:rPr>
        <w:t xml:space="preserve">                                  2019年10月31日</w:t>
      </w: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autoSpaceDE w:val="0"/>
        <w:autoSpaceDN w:val="0"/>
        <w:adjustRightInd w:val="0"/>
        <w:ind w:firstLine="555"/>
        <w:jc w:val="left"/>
        <w:rPr>
          <w:rFonts w:ascii="仿宋" w:hAnsi="仿宋" w:eastAsia="仿宋" w:cstheme="minorBidi"/>
          <w:sz w:val="28"/>
          <w:szCs w:val="28"/>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djustRightInd w:val="0"/>
        <w:snapToGrid w:val="0"/>
        <w:spacing w:line="500" w:lineRule="exact"/>
        <w:ind w:firstLine="643" w:firstLineChars="200"/>
        <w:jc w:val="center"/>
        <w:rPr>
          <w:rFonts w:ascii="黑体" w:hAnsi="黑体" w:eastAsia="黑体" w:cstheme="minorBidi"/>
          <w:b/>
          <w:sz w:val="32"/>
          <w:szCs w:val="32"/>
        </w:rPr>
      </w:pPr>
      <w:r>
        <w:rPr>
          <w:rFonts w:hint="eastAsia" w:ascii="黑体" w:hAnsi="黑体" w:eastAsia="黑体" w:cstheme="minorBidi"/>
          <w:b/>
          <w:sz w:val="32"/>
          <w:szCs w:val="32"/>
        </w:rPr>
        <w:t>美术学院教师课外育人工作考核办法（试行）</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为进一步贯彻落实全国、全省高校思想政治工作会议精神，强化教师在课外育人工作中的职责和任务，根据杭师大党办〔2019〕2号《杭州师范大学教师育人课外工作考核办法（试行）》的相关要求，结合美术学院实际情况，特制订本办法。</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一、考核对象</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我院在编在岗的全体专任教师、一线专职辅导员。</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二、考核内容</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本办法所指的课外育人工作指为了实现育人目标，教师在第一课堂课程育人外，承担一定形式的育人工作，对全日制学生进行的教育教学活动。内容包括：</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（一）学生班主任；</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（二）本科学生综合导师；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（三）研究生导师；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（四）学生党支部书记；</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（五）实验室开放项目指导教师；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（六）学生社团指导教师；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（七）学生社会实践活动指导教师；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（八）学生竞赛活动指导教师；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（九）学生创新创业活动指导教师；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（十）党、团校培训或思政教育专题报告、沙龙等的主讲教师；</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（十一）学生非教学活动的评审或指导工作；</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三、工作量计算</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育人工作量以“分”为计量单位，具体计算办法如下：</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（一）担任本科学生班主任。根据班主任考核结果，考核优秀、良好、合格者每年度分别计 25 分、20 分、15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（二）担任本科学生综合导师。考核合格者，每生每年度计 2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（三）担任研究生导师。重视研究生育人工作，考核合格者，每生每年度计 2 分。所带学生在6月15日前签约的，每生再加2分。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（四）担任学生党支部书记。考核合格者，每年度计 20 分，获院级及以上优秀党支部书记或所在支部获优秀支部的再加 5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（五）担任实验室开放项目指导教师。考核合格者，每个项目每年度计2分。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（六）担任学生社团指导教师。考核合格者每年度每个社团 计10 分，获学校优秀指导教师或指导的社团获评校“十佳社团”的再加 5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（七）担任社会实践指导教师。教师带队到实践地指导活动的，每天 计2 分。实践项目获校级及以上荣誉或教师获评校级及以上优秀指导教师的再加 5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（八）担任学生竞赛活动指导教师。教师指导学生开展学校组织学科竞赛、体育竞赛、艺术展演等，每个项目计 10分，项目获省级以上奖项的，每个项目再加 5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（九）担任学生创新创业活动指导教师。指导学生完成校级、省级和国家级创新创业项目结题的，每个项目分别计 2 分、5 分、6 分；指导学生申请专利、发表论文、注册企业等， 每项计 3 分，发明专利或核心期刊发表论文再加 7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（十）担任党校、团校等培训或思政教育专题报告、沙龙活动等主讲教师，每场计 3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（十一）担任学生非教学活动评审或辅导工作。指导或评审学生开展各类校园文化活动和素质提升项目等活动，每半天 计2 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（十二）面向学院学生（不包括班主任对本班）开展小型报告（如：博乐汇）或讲座，每场计3分。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（十三）担任课外教学实践带队指导教师，每次计5分。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（十四）担任学生升学（含出国境）指导工作，每生计2分，10分封顶，指导学生成功升学，每生再加2分。</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（十五）取得突破性成绩的课外育人工作，由学院考核领导小组审定可直接定为年度考核优秀。</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（十六）其他未尽的课外育人工作，由教师本人提出，视开展情况和育人实绩，由学院考核领导小组讨论决定。</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四、等级评定</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教师课外育人工作考核结果分优秀、合格、不合格三个等级，一线专职辅导员按比例单列考核。</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（一）优秀：年度考核育人工作量满 30 分，指导学生获突出成绩，学生反响好。比例不超过考核总人数的 20%。</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（二）合格：年度考核育人工作量满 10 分，工作认真负责。</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（三）不合格：年度考核育人工作量未满 10 分，或在育人工作中有违反师德师风的言行，产生恶劣影响的。</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五、结果使用</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（一）教师课外育人工作考核结果纳入教师年度工作考核， 并作为教师专业技术职务晋升和评奖评优的基本依据之一。申请专业技术职务晋升的教师，任现职以来育人工作考核至少有一次优秀；三年内育人工作考核有不合格的教师，原则上在职称晋升和评奖评优时“一票否决”。</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（二）教师课外育人工作考核结果作为教师岗位聘任的基本依据之一，同等条件下，育人工作考核优秀的教师优先聘岗，对聘期内 2 次及以上考核不合格的教师，实行降档聘任。</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（三）当年度教师课外育人工作考核不合格的，教师年度工作考核不得评优。</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六、组织实施</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（一）教师课外育人工作考核与教师年度考核同时进行，结果纳入教师年度考核。</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（二）学院成立教师课外育人工作考核小组，组长由党委书记、院长共同担任，负责学院教师的课外育人工作考核，办公室设在学工办。</w:t>
      </w:r>
    </w:p>
    <w:p>
      <w:pPr>
        <w:adjustRightInd w:val="0"/>
        <w:snapToGrid w:val="0"/>
        <w:spacing w:line="560" w:lineRule="exact"/>
        <w:ind w:firstLine="560" w:firstLineChars="200"/>
        <w:rPr>
          <w:rFonts w:ascii="仿宋" w:hAnsi="仿宋" w:eastAsia="仿宋" w:cstheme="minorBidi"/>
          <w:sz w:val="28"/>
          <w:szCs w:val="28"/>
        </w:rPr>
      </w:pPr>
      <w:r>
        <w:rPr>
          <w:rFonts w:hint="eastAsia" w:ascii="仿宋" w:hAnsi="仿宋" w:eastAsia="仿宋" w:cstheme="minorBidi"/>
          <w:sz w:val="28"/>
          <w:szCs w:val="28"/>
        </w:rPr>
        <w:t>本办法自学院党政联席会议通过之日起施行，由学院课外育人工作考核小组负责解释。</w:t>
      </w:r>
    </w:p>
    <w:p>
      <w:pPr>
        <w:adjustRightInd w:val="0"/>
        <w:snapToGrid w:val="0"/>
        <w:spacing w:line="560" w:lineRule="exact"/>
        <w:ind w:firstLine="560" w:firstLineChars="200"/>
        <w:rPr>
          <w:rFonts w:ascii="仿宋" w:hAnsi="仿宋" w:eastAsia="仿宋" w:cstheme="minorBidi"/>
          <w:sz w:val="28"/>
          <w:szCs w:val="28"/>
        </w:rPr>
      </w:pPr>
    </w:p>
    <w:p>
      <w:pPr>
        <w:adjustRightInd w:val="0"/>
        <w:snapToGrid w:val="0"/>
        <w:spacing w:line="560" w:lineRule="exact"/>
        <w:ind w:firstLine="560" w:firstLineChars="200"/>
        <w:rPr>
          <w:rFonts w:ascii="仿宋" w:hAnsi="仿宋" w:eastAsia="仿宋" w:cstheme="minorBidi"/>
          <w:sz w:val="28"/>
          <w:szCs w:val="28"/>
        </w:rPr>
      </w:pPr>
    </w:p>
    <w:p>
      <w:pPr>
        <w:adjustRightInd w:val="0"/>
        <w:snapToGrid w:val="0"/>
        <w:spacing w:line="56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adjustRightInd w:val="0"/>
        <w:snapToGrid w:val="0"/>
        <w:spacing w:line="500" w:lineRule="exact"/>
        <w:ind w:firstLine="560" w:firstLineChars="200"/>
        <w:rPr>
          <w:rFonts w:ascii="仿宋" w:hAnsi="仿宋" w:eastAsia="仿宋" w:cstheme="minorBidi"/>
          <w:sz w:val="28"/>
          <w:szCs w:val="28"/>
        </w:rPr>
      </w:pPr>
    </w:p>
    <w:p>
      <w:pPr>
        <w:jc w:val="left"/>
        <w:rPr>
          <w:rFonts w:ascii="仿宋" w:hAnsi="仿宋" w:eastAsia="仿宋"/>
          <w:sz w:val="28"/>
          <w:szCs w:val="28"/>
        </w:rPr>
      </w:pPr>
      <w:r>
        <w:rPr>
          <w:rFonts w:ascii="仿宋" w:hAnsi="仿宋"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-64770</wp:posOffset>
                </wp:positionH>
                <wp:positionV relativeFrom="paragraph">
                  <wp:posOffset>7620</wp:posOffset>
                </wp:positionV>
                <wp:extent cx="560070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1pt;margin-top:0.6pt;height:0pt;width:441pt;z-index:251661312;mso-width-relative:page;mso-height-relative:page;" filled="f" stroked="t" coordsize="21600,21600" o:gfxdata="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kk3uJ1AAAAAcBAAAPAAAAAAAAAAEAIAAAACIAAABkcnMvZG93bnJl&#10;di54bWxQSwECFAAUAAAACACHTuJAwIKSUsgBAABcAwAADgAAAAAAAAABACAAAAAjAQAAZHJzL2Uy&#10;b0RvYy54bWxQSwUGAAAAAAYABgBZAQAAXQUAAAAA&#10;">
                <v:fill on="f" focussize="0,0"/>
                <v:stroke color="#000000" joinstyle="round"/>
                <v:imagedata o:title=""/>
                <o:lock v:ext="edit" aspectratio="f"/>
              </v:line>
            </w:pict>
          </mc:Fallback>
        </mc:AlternateContent>
      </w:r>
      <w:r>
        <w:rPr>
          <w:rFonts w:ascii="仿宋" w:hAnsi="仿宋" w:eastAsia="仿宋"/>
          <w:sz w:val="28"/>
          <w:szCs w:val="28"/>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396240</wp:posOffset>
                </wp:positionV>
                <wp:extent cx="5600700" cy="0"/>
                <wp:effectExtent l="9525" t="7620" r="9525" b="1143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9pt;margin-top:31.2pt;height:0pt;width:441pt;z-index:251662336;mso-width-relative:page;mso-height-relative:page;" filled="f" stroked="t" coordsize="21600,21600" o:gfxdata="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qtqnh1gAAAAkBAAAPAAAAAAAAAAEAIAAAACIAAABkcnMvZG93&#10;bnJldi54bWxQSwECFAAUAAAACACHTuJAs/m8h8kBAABcAwAADgAAAAAAAAABACAAAAAlAQAAZHJz&#10;L2Uyb0RvYy54bWxQSwUGAAAAAAYABgBZAQAAYAUAAAAA&#10;">
                <v:fill on="f" focussize="0,0"/>
                <v:stroke color="#000000" joinstyle="round"/>
                <v:imagedata o:title=""/>
                <o:lock v:ext="edit" aspectratio="f"/>
              </v:line>
            </w:pict>
          </mc:Fallback>
        </mc:AlternateContent>
      </w:r>
      <w:r>
        <w:rPr>
          <w:rFonts w:hint="eastAsia" w:ascii="仿宋" w:hAnsi="仿宋" w:eastAsia="仿宋"/>
          <w:sz w:val="28"/>
          <w:szCs w:val="28"/>
        </w:rPr>
        <w:t>杭州师范大学美术学院综合办公室     2019年10月31日印发</w:t>
      </w:r>
    </w:p>
    <w:p>
      <w:pPr>
        <w:widowControl/>
        <w:adjustRightInd w:val="0"/>
        <w:snapToGrid w:val="0"/>
        <w:spacing w:line="360" w:lineRule="auto"/>
        <w:jc w:val="left"/>
        <w:rPr>
          <w:rFonts w:ascii="仿宋" w:hAnsi="仿宋" w:eastAsia="仿宋" w:cs="宋体"/>
          <w:kern w:val="0"/>
          <w:szCs w:val="21"/>
        </w:rPr>
      </w:pPr>
    </w:p>
    <w:p>
      <w:pPr>
        <w:pStyle w:val="2"/>
        <w:spacing w:line="500" w:lineRule="exact"/>
        <w:rPr>
          <w:rFonts w:hint="eastAsia" w:ascii="仿宋" w:hAnsi="仿宋" w:eastAsia="仿宋"/>
          <w:lang w:val="en-US"/>
        </w:rPr>
      </w:pPr>
    </w:p>
    <w:p>
      <w:pPr>
        <w:pStyle w:val="2"/>
        <w:spacing w:line="500" w:lineRule="exact"/>
        <w:rPr>
          <w:rFonts w:hint="eastAsia" w:ascii="仿宋" w:hAnsi="仿宋" w:eastAsia="仿宋"/>
          <w:lang w:val="en-US"/>
        </w:rPr>
      </w:pPr>
    </w:p>
    <w:p>
      <w:pPr>
        <w:pStyle w:val="2"/>
        <w:spacing w:line="500" w:lineRule="exact"/>
        <w:rPr>
          <w:rFonts w:ascii="仿宋" w:hAnsi="仿宋" w:eastAsia="仿宋"/>
          <w:lang w:val="en-US"/>
        </w:rPr>
        <w:sectPr>
          <w:footerReference r:id="rId3" w:type="default"/>
          <w:pgSz w:w="11910" w:h="16840"/>
          <w:pgMar w:top="1531" w:right="1531" w:bottom="1531" w:left="1531" w:header="720" w:footer="720" w:gutter="0"/>
          <w:cols w:space="720" w:num="1"/>
        </w:sectPr>
      </w:pPr>
    </w:p>
    <w:p>
      <w:pPr>
        <w:pStyle w:val="2"/>
        <w:spacing w:line="500" w:lineRule="exact"/>
        <w:ind w:left="0"/>
        <w:jc w:val="both"/>
        <w:rPr>
          <w:rFonts w:ascii="仿宋" w:hAnsi="仿宋" w:eastAsia="仿宋"/>
          <w:lang w:val="en-US"/>
        </w:rPr>
      </w:pPr>
    </w:p>
    <w:tbl>
      <w:tblPr>
        <w:tblStyle w:val="11"/>
        <w:tblW w:w="13907" w:type="dxa"/>
        <w:tblInd w:w="93" w:type="dxa"/>
        <w:tblLayout w:type="autofit"/>
        <w:tblCellMar>
          <w:top w:w="0" w:type="dxa"/>
          <w:left w:w="108" w:type="dxa"/>
          <w:bottom w:w="0" w:type="dxa"/>
          <w:right w:w="108" w:type="dxa"/>
        </w:tblCellMar>
      </w:tblPr>
      <w:tblGrid>
        <w:gridCol w:w="3220"/>
        <w:gridCol w:w="5300"/>
        <w:gridCol w:w="3969"/>
        <w:gridCol w:w="1418"/>
      </w:tblGrid>
      <w:tr>
        <w:tblPrEx>
          <w:tblCellMar>
            <w:top w:w="0" w:type="dxa"/>
            <w:left w:w="108" w:type="dxa"/>
            <w:bottom w:w="0" w:type="dxa"/>
            <w:right w:w="108" w:type="dxa"/>
          </w:tblCellMar>
        </w:tblPrEx>
        <w:trPr>
          <w:trHeight w:val="360" w:hRule="atLeast"/>
        </w:trPr>
        <w:tc>
          <w:tcPr>
            <w:tcW w:w="12489" w:type="dxa"/>
            <w:gridSpan w:val="3"/>
            <w:tcBorders>
              <w:top w:val="nil"/>
              <w:left w:val="nil"/>
              <w:bottom w:val="nil"/>
              <w:right w:val="nil"/>
            </w:tcBorders>
            <w:shd w:val="clear" w:color="auto" w:fill="auto"/>
            <w:noWrap/>
            <w:vAlign w:val="center"/>
          </w:tcPr>
          <w:p>
            <w:pPr>
              <w:widowControl/>
              <w:rPr>
                <w:rFonts w:ascii="宋体" w:hAnsi="宋体" w:cs="宋体"/>
                <w:b/>
                <w:bCs/>
                <w:color w:val="000000"/>
                <w:kern w:val="0"/>
                <w:sz w:val="32"/>
                <w:szCs w:val="32"/>
              </w:rPr>
            </w:pPr>
            <w:r>
              <w:rPr>
                <w:rFonts w:hint="eastAsia" w:ascii="宋体" w:hAnsi="宋体" w:cs="宋体"/>
                <w:b/>
                <w:bCs/>
                <w:color w:val="000000"/>
                <w:kern w:val="0"/>
                <w:sz w:val="32"/>
                <w:szCs w:val="32"/>
              </w:rPr>
              <w:t>附件                           美术学院教师课外育人工作考核表</w:t>
            </w:r>
          </w:p>
        </w:tc>
        <w:tc>
          <w:tcPr>
            <w:tcW w:w="1418" w:type="dxa"/>
            <w:tcBorders>
              <w:top w:val="nil"/>
              <w:left w:val="nil"/>
              <w:bottom w:val="nil"/>
              <w:right w:val="nil"/>
            </w:tcBorders>
            <w:shd w:val="clear" w:color="auto" w:fill="auto"/>
            <w:noWrap/>
            <w:vAlign w:val="center"/>
          </w:tcPr>
          <w:p>
            <w:pPr>
              <w:widowControl/>
              <w:jc w:val="left"/>
              <w:rPr>
                <w:rFonts w:ascii="宋体" w:hAnsi="宋体" w:cs="宋体"/>
                <w:color w:val="000000"/>
                <w:kern w:val="0"/>
                <w:sz w:val="22"/>
                <w:szCs w:val="22"/>
              </w:rPr>
            </w:pPr>
          </w:p>
        </w:tc>
      </w:tr>
      <w:tr>
        <w:tblPrEx>
          <w:tblCellMar>
            <w:top w:w="0" w:type="dxa"/>
            <w:left w:w="108" w:type="dxa"/>
            <w:bottom w:w="0" w:type="dxa"/>
            <w:right w:w="108" w:type="dxa"/>
          </w:tblCellMar>
        </w:tblPrEx>
        <w:trPr>
          <w:trHeight w:val="345" w:hRule="atLeast"/>
        </w:trPr>
        <w:tc>
          <w:tcPr>
            <w:tcW w:w="3220" w:type="dxa"/>
            <w:tcBorders>
              <w:top w:val="nil"/>
              <w:left w:val="nil"/>
              <w:bottom w:val="nil"/>
              <w:right w:val="nil"/>
            </w:tcBorders>
            <w:shd w:val="clear" w:color="auto" w:fill="auto"/>
            <w:noWrap/>
            <w:vAlign w:val="center"/>
          </w:tcPr>
          <w:p>
            <w:pPr>
              <w:widowControl/>
              <w:jc w:val="right"/>
              <w:rPr>
                <w:rFonts w:ascii="宋体" w:hAnsi="宋体" w:cs="宋体"/>
                <w:color w:val="000000"/>
                <w:kern w:val="0"/>
                <w:sz w:val="24"/>
              </w:rPr>
            </w:pPr>
          </w:p>
        </w:tc>
        <w:tc>
          <w:tcPr>
            <w:tcW w:w="5300" w:type="dxa"/>
            <w:tcBorders>
              <w:top w:val="nil"/>
              <w:left w:val="nil"/>
              <w:bottom w:val="nil"/>
              <w:right w:val="nil"/>
            </w:tcBorders>
            <w:shd w:val="clear" w:color="auto" w:fill="auto"/>
            <w:noWrap/>
            <w:vAlign w:val="center"/>
          </w:tcPr>
          <w:p>
            <w:pPr>
              <w:widowControl/>
              <w:jc w:val="right"/>
              <w:rPr>
                <w:rFonts w:ascii="宋体" w:hAnsi="宋体" w:cs="宋体"/>
                <w:color w:val="000000"/>
                <w:kern w:val="0"/>
                <w:sz w:val="24"/>
              </w:rPr>
            </w:pPr>
            <w:r>
              <w:rPr>
                <w:rFonts w:hint="eastAsia" w:ascii="宋体" w:hAnsi="宋体" w:cs="宋体"/>
                <w:color w:val="000000"/>
                <w:kern w:val="0"/>
                <w:sz w:val="24"/>
              </w:rPr>
              <w:t>考核教师：</w:t>
            </w:r>
          </w:p>
        </w:tc>
        <w:tc>
          <w:tcPr>
            <w:tcW w:w="3969" w:type="dxa"/>
            <w:tcBorders>
              <w:top w:val="nil"/>
              <w:left w:val="nil"/>
              <w:bottom w:val="nil"/>
              <w:right w:val="nil"/>
            </w:tcBorders>
            <w:shd w:val="clear" w:color="auto" w:fill="auto"/>
            <w:noWrap/>
            <w:vAlign w:val="center"/>
          </w:tcPr>
          <w:p>
            <w:pPr>
              <w:widowControl/>
              <w:jc w:val="right"/>
              <w:rPr>
                <w:rFonts w:ascii="宋体" w:hAnsi="宋体" w:cs="宋体"/>
                <w:color w:val="000000"/>
                <w:kern w:val="0"/>
                <w:sz w:val="24"/>
              </w:rPr>
            </w:pPr>
          </w:p>
        </w:tc>
        <w:tc>
          <w:tcPr>
            <w:tcW w:w="1418" w:type="dxa"/>
            <w:tcBorders>
              <w:top w:val="nil"/>
              <w:left w:val="nil"/>
              <w:bottom w:val="nil"/>
              <w:right w:val="nil"/>
            </w:tcBorders>
            <w:shd w:val="clear" w:color="auto" w:fill="auto"/>
            <w:noWrap/>
            <w:vAlign w:val="center"/>
          </w:tcPr>
          <w:p>
            <w:pPr>
              <w:widowControl/>
              <w:jc w:val="right"/>
              <w:rPr>
                <w:rFonts w:ascii="宋体" w:hAnsi="宋体" w:cs="宋体"/>
                <w:color w:val="000000"/>
                <w:kern w:val="0"/>
                <w:sz w:val="24"/>
              </w:rPr>
            </w:pPr>
          </w:p>
        </w:tc>
      </w:tr>
      <w:tr>
        <w:tblPrEx>
          <w:tblCellMar>
            <w:top w:w="0" w:type="dxa"/>
            <w:left w:w="108" w:type="dxa"/>
            <w:bottom w:w="0" w:type="dxa"/>
            <w:right w:w="108" w:type="dxa"/>
          </w:tblCellMar>
        </w:tblPrEx>
        <w:trPr>
          <w:trHeight w:val="360" w:hRule="atLeast"/>
        </w:trPr>
        <w:tc>
          <w:tcPr>
            <w:tcW w:w="32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考核内容</w:t>
            </w:r>
          </w:p>
        </w:tc>
        <w:tc>
          <w:tcPr>
            <w:tcW w:w="5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计算办法</w:t>
            </w:r>
          </w:p>
        </w:tc>
        <w:tc>
          <w:tcPr>
            <w:tcW w:w="396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自评分及依据</w:t>
            </w:r>
          </w:p>
        </w:tc>
        <w:tc>
          <w:tcPr>
            <w:tcW w:w="141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rPr>
            </w:pPr>
            <w:r>
              <w:rPr>
                <w:rFonts w:hint="eastAsia" w:ascii="宋体" w:hAnsi="宋体" w:cs="宋体"/>
                <w:color w:val="000000"/>
                <w:kern w:val="0"/>
                <w:sz w:val="24"/>
              </w:rPr>
              <w:t>考核得分</w:t>
            </w:r>
          </w:p>
        </w:tc>
      </w:tr>
      <w:tr>
        <w:tblPrEx>
          <w:tblCellMar>
            <w:top w:w="0" w:type="dxa"/>
            <w:left w:w="108" w:type="dxa"/>
            <w:bottom w:w="0" w:type="dxa"/>
            <w:right w:w="108" w:type="dxa"/>
          </w:tblCellMar>
        </w:tblPrEx>
        <w:trPr>
          <w:trHeight w:val="439"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1.担任本科学生班主任</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根据考核结果优秀、良好、合格者每年度分别计25分、20分、15分。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39"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2.担任本科学生综合导师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考核合格者，每生每年度计2分。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7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3.担任研究生导师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考核合格者，每生每年度计2分。所带学生在6月15日前签约的，每生加2分。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4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4.担任学生党支部书记</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考核合格者每年度计20分，获优秀党支部书记或所在支部获优秀支部的再加5分。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7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5.担任实验室开放项目指导教师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考核合格者,每年度每项2分。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7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6.担任学生社团指导教师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考核合格者，每个社团每年度计10分，获得学校优秀指导教师或指导社团获评十佳社团的再加5分。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39"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7.担任社会实践指导教师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每天计2分，实践项目获各级荣誉或教师获评优秀指导教师的再加5分。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4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8.担任学生竞赛活动指导教师（含行业竞赛）</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每个项目计10分，项目获省级以上奖项的，每个再加5分。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90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9.担任学生创新创业活动指导教师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指导学生完成校级、省级、国家级项目结题，每个项目分别计2分、5分、6分；指导学生申请专利、软著、发表论文、注册企业等，每项计3分，发明专利或核心期刊再加7分。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5"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10.担任党校、团校等培训或思政教育专题报告、沙龙活动等主讲教师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每场计3分。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39"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11.担任学生非教学活动评审或辅导工作</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指导或评审学生校园文化活动和素质提升项目等活动，每半天计2分。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4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1２.面向学院学生（不包括班主任对本班）开展小型报告（如：博乐汇）或讲座</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每场计3分。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5"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1３.担任课外教学实践带队指导教师</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每次计5分。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70"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1４.担任学生升学（含出国境）指导工作</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每生计2分，10分封顶，指导学生成功升学，每生再加2分。</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39"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15. 取得突破性成绩的课外育人工作</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由学院考核领导小组审定可直接定为年度考核优秀。</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39" w:hRule="atLeast"/>
        </w:trPr>
        <w:tc>
          <w:tcPr>
            <w:tcW w:w="3220"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16.其他未尽的课外育人工作</w:t>
            </w:r>
          </w:p>
        </w:tc>
        <w:tc>
          <w:tcPr>
            <w:tcW w:w="5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视开展情况计分，由个人提出，学院考核领导小组讨论审定。</w:t>
            </w:r>
          </w:p>
        </w:tc>
        <w:tc>
          <w:tcPr>
            <w:tcW w:w="3969"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390" w:hRule="atLeast"/>
        </w:trPr>
        <w:tc>
          <w:tcPr>
            <w:tcW w:w="1248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年度得分：</w:t>
            </w:r>
          </w:p>
        </w:tc>
        <w:tc>
          <w:tcPr>
            <w:tcW w:w="141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70" w:hRule="atLeast"/>
        </w:trPr>
        <w:tc>
          <w:tcPr>
            <w:tcW w:w="13907" w:type="dxa"/>
            <w:gridSpan w:val="4"/>
            <w:tcBorders>
              <w:top w:val="single" w:color="auto" w:sz="4" w:space="0"/>
              <w:left w:val="nil"/>
              <w:bottom w:val="nil"/>
              <w:right w:val="nil"/>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备注：承担其他学院学生课外育人工作，由所在学院考核认定，学院认可考核结果。</w:t>
            </w:r>
          </w:p>
        </w:tc>
      </w:tr>
    </w:tbl>
    <w:p>
      <w:pPr>
        <w:rPr>
          <w:rFonts w:asciiTheme="minorHAnsi" w:hAnsiTheme="minorHAnsi" w:eastAsiaTheme="minorEastAsia" w:cstheme="minorBidi"/>
          <w:sz w:val="18"/>
          <w:szCs w:val="18"/>
        </w:rPr>
      </w:pPr>
    </w:p>
    <w:p>
      <w:pPr>
        <w:pStyle w:val="2"/>
        <w:spacing w:line="500" w:lineRule="exact"/>
        <w:rPr>
          <w:rFonts w:ascii="仿宋" w:hAnsi="仿宋" w:eastAsia="仿宋"/>
          <w:lang w:val="en-US"/>
        </w:rPr>
      </w:pPr>
    </w:p>
    <w:p>
      <w:pPr>
        <w:pStyle w:val="2"/>
        <w:spacing w:line="500" w:lineRule="exact"/>
        <w:rPr>
          <w:rFonts w:ascii="仿宋" w:hAnsi="仿宋" w:eastAsia="仿宋"/>
          <w:lang w:val="en-US"/>
        </w:rPr>
      </w:pPr>
    </w:p>
    <w:p>
      <w:pPr>
        <w:pStyle w:val="2"/>
        <w:spacing w:line="500" w:lineRule="exact"/>
        <w:rPr>
          <w:rFonts w:ascii="仿宋" w:hAnsi="仿宋" w:eastAsia="仿宋"/>
          <w:lang w:val="en-US"/>
        </w:rPr>
      </w:pPr>
    </w:p>
    <w:p>
      <w:pPr>
        <w:pStyle w:val="2"/>
        <w:spacing w:line="500" w:lineRule="exact"/>
        <w:rPr>
          <w:rFonts w:ascii="仿宋" w:hAnsi="仿宋" w:eastAsia="仿宋"/>
          <w:lang w:val="en-US"/>
        </w:rPr>
      </w:pPr>
    </w:p>
    <w:p>
      <w:pPr>
        <w:pStyle w:val="2"/>
        <w:spacing w:line="500" w:lineRule="exact"/>
        <w:rPr>
          <w:rFonts w:ascii="仿宋" w:hAnsi="仿宋" w:eastAsia="仿宋"/>
          <w:lang w:val="en-US"/>
        </w:rPr>
      </w:pPr>
    </w:p>
    <w:sectPr>
      <w:pgSz w:w="16840" w:h="11910" w:orient="landscape"/>
      <w:pgMar w:top="1531" w:right="1531" w:bottom="1531" w:left="1531"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方正隶变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p>
  <w:p>
    <w:pPr>
      <w:pStyle w:val="5"/>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FA4"/>
    <w:rsid w:val="000641BF"/>
    <w:rsid w:val="000652AA"/>
    <w:rsid w:val="00081C92"/>
    <w:rsid w:val="001A6282"/>
    <w:rsid w:val="001D5156"/>
    <w:rsid w:val="001E2502"/>
    <w:rsid w:val="001F63CC"/>
    <w:rsid w:val="0021405D"/>
    <w:rsid w:val="00247154"/>
    <w:rsid w:val="0025522F"/>
    <w:rsid w:val="002B4787"/>
    <w:rsid w:val="002B67B0"/>
    <w:rsid w:val="003419DE"/>
    <w:rsid w:val="003530F4"/>
    <w:rsid w:val="003D4D89"/>
    <w:rsid w:val="003D5555"/>
    <w:rsid w:val="004E2DC2"/>
    <w:rsid w:val="004F2DD2"/>
    <w:rsid w:val="00545FA4"/>
    <w:rsid w:val="006146E0"/>
    <w:rsid w:val="006D400E"/>
    <w:rsid w:val="006E65CC"/>
    <w:rsid w:val="00723F08"/>
    <w:rsid w:val="00796CAA"/>
    <w:rsid w:val="0083180A"/>
    <w:rsid w:val="00863CAC"/>
    <w:rsid w:val="009069C1"/>
    <w:rsid w:val="00972E3E"/>
    <w:rsid w:val="00993F3D"/>
    <w:rsid w:val="00A05A9E"/>
    <w:rsid w:val="00A579CD"/>
    <w:rsid w:val="00A80A65"/>
    <w:rsid w:val="00CF6206"/>
    <w:rsid w:val="00D35995"/>
    <w:rsid w:val="00D862E1"/>
    <w:rsid w:val="00E06469"/>
    <w:rsid w:val="00F8312E"/>
    <w:rsid w:val="00FA265F"/>
    <w:rsid w:val="00FC6CA1"/>
    <w:rsid w:val="00FE4628"/>
    <w:rsid w:val="38550B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1"/>
    <w:pPr>
      <w:autoSpaceDE w:val="0"/>
      <w:autoSpaceDN w:val="0"/>
      <w:spacing w:before="44"/>
      <w:ind w:left="1399" w:right="1881"/>
      <w:jc w:val="center"/>
      <w:outlineLvl w:val="0"/>
    </w:pPr>
    <w:rPr>
      <w:rFonts w:ascii="宋体" w:hAnsi="宋体" w:cs="宋体"/>
      <w:b/>
      <w:bCs/>
      <w:kern w:val="0"/>
      <w:sz w:val="28"/>
      <w:szCs w:val="28"/>
      <w:lang w:val="zh-CN" w:bidi="zh-CN"/>
    </w:rPr>
  </w:style>
  <w:style w:type="paragraph" w:styleId="3">
    <w:name w:val="heading 2"/>
    <w:basedOn w:val="1"/>
    <w:next w:val="1"/>
    <w:link w:val="22"/>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qFormat/>
    <w:uiPriority w:val="1"/>
    <w:pPr>
      <w:autoSpaceDE w:val="0"/>
      <w:autoSpaceDN w:val="0"/>
      <w:ind w:left="228"/>
      <w:jc w:val="left"/>
      <w:outlineLvl w:val="2"/>
    </w:pPr>
    <w:rPr>
      <w:rFonts w:ascii="宋体" w:hAnsi="宋体" w:cs="宋体"/>
      <w:b/>
      <w:bCs/>
      <w:kern w:val="0"/>
      <w:sz w:val="24"/>
      <w:lang w:val="zh-CN" w:bidi="zh-CN"/>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ody Text"/>
    <w:basedOn w:val="1"/>
    <w:link w:val="19"/>
    <w:qFormat/>
    <w:uiPriority w:val="1"/>
    <w:pPr>
      <w:autoSpaceDE w:val="0"/>
      <w:autoSpaceDN w:val="0"/>
      <w:jc w:val="left"/>
    </w:pPr>
    <w:rPr>
      <w:rFonts w:ascii="宋体" w:hAnsi="宋体" w:cs="宋体"/>
      <w:kern w:val="0"/>
      <w:sz w:val="24"/>
      <w:lang w:val="zh-CN" w:bidi="zh-CN"/>
    </w:rPr>
  </w:style>
  <w:style w:type="paragraph" w:styleId="6">
    <w:name w:val="Date"/>
    <w:basedOn w:val="1"/>
    <w:next w:val="1"/>
    <w:link w:val="13"/>
    <w:semiHidden/>
    <w:unhideWhenUsed/>
    <w:uiPriority w:val="99"/>
    <w:pPr>
      <w:ind w:left="100" w:leftChars="2500"/>
    </w:pPr>
  </w:style>
  <w:style w:type="paragraph" w:styleId="7">
    <w:name w:val="Body Text Indent 2"/>
    <w:basedOn w:val="1"/>
    <w:link w:val="27"/>
    <w:semiHidden/>
    <w:unhideWhenUsed/>
    <w:uiPriority w:val="99"/>
    <w:pPr>
      <w:spacing w:after="120" w:line="480" w:lineRule="auto"/>
      <w:ind w:left="420" w:leftChars="200"/>
    </w:pPr>
  </w:style>
  <w:style w:type="paragraph" w:styleId="8">
    <w:name w:val="Balloon Text"/>
    <w:basedOn w:val="1"/>
    <w:link w:val="25"/>
    <w:semiHidden/>
    <w:unhideWhenUsed/>
    <w:uiPriority w:val="99"/>
    <w:rPr>
      <w:sz w:val="18"/>
      <w:szCs w:val="18"/>
    </w:rPr>
  </w:style>
  <w:style w:type="paragraph" w:styleId="9">
    <w:name w:val="footer"/>
    <w:basedOn w:val="1"/>
    <w:link w:val="15"/>
    <w:unhideWhenUsed/>
    <w:uiPriority w:val="99"/>
    <w:pPr>
      <w:tabs>
        <w:tab w:val="center" w:pos="4153"/>
        <w:tab w:val="right" w:pos="8306"/>
      </w:tabs>
      <w:snapToGrid w:val="0"/>
      <w:jc w:val="left"/>
    </w:pPr>
    <w:rPr>
      <w:sz w:val="18"/>
      <w:szCs w:val="18"/>
    </w:rPr>
  </w:style>
  <w:style w:type="paragraph" w:styleId="10">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13">
    <w:name w:val="日期 Char"/>
    <w:basedOn w:val="12"/>
    <w:link w:val="6"/>
    <w:semiHidden/>
    <w:uiPriority w:val="99"/>
    <w:rPr>
      <w:rFonts w:ascii="Times New Roman" w:hAnsi="Times New Roman" w:eastAsia="宋体" w:cs="Times New Roman"/>
      <w:szCs w:val="24"/>
    </w:rPr>
  </w:style>
  <w:style w:type="character" w:customStyle="1" w:styleId="14">
    <w:name w:val="页眉 Char"/>
    <w:basedOn w:val="12"/>
    <w:link w:val="10"/>
    <w:uiPriority w:val="99"/>
    <w:rPr>
      <w:rFonts w:ascii="Times New Roman" w:hAnsi="Times New Roman" w:eastAsia="宋体" w:cs="Times New Roman"/>
      <w:sz w:val="18"/>
      <w:szCs w:val="18"/>
    </w:rPr>
  </w:style>
  <w:style w:type="character" w:customStyle="1" w:styleId="15">
    <w:name w:val="页脚 Char"/>
    <w:basedOn w:val="12"/>
    <w:link w:val="9"/>
    <w:uiPriority w:val="99"/>
    <w:rPr>
      <w:rFonts w:ascii="Times New Roman" w:hAnsi="Times New Roman" w:eastAsia="宋体" w:cs="Times New Roman"/>
      <w:sz w:val="18"/>
      <w:szCs w:val="18"/>
    </w:rPr>
  </w:style>
  <w:style w:type="character" w:customStyle="1" w:styleId="16">
    <w:name w:val="标题 1 Char"/>
    <w:basedOn w:val="12"/>
    <w:link w:val="2"/>
    <w:uiPriority w:val="1"/>
    <w:rPr>
      <w:rFonts w:ascii="宋体" w:hAnsi="宋体" w:eastAsia="宋体" w:cs="宋体"/>
      <w:b/>
      <w:bCs/>
      <w:kern w:val="0"/>
      <w:sz w:val="28"/>
      <w:szCs w:val="28"/>
      <w:lang w:val="zh-CN" w:bidi="zh-CN"/>
    </w:rPr>
  </w:style>
  <w:style w:type="character" w:customStyle="1" w:styleId="17">
    <w:name w:val="标题 3 Char"/>
    <w:basedOn w:val="12"/>
    <w:link w:val="4"/>
    <w:uiPriority w:val="1"/>
    <w:rPr>
      <w:rFonts w:ascii="宋体" w:hAnsi="宋体" w:eastAsia="宋体" w:cs="宋体"/>
      <w:b/>
      <w:bCs/>
      <w:kern w:val="0"/>
      <w:sz w:val="24"/>
      <w:szCs w:val="24"/>
      <w:lang w:val="zh-CN" w:bidi="zh-CN"/>
    </w:rPr>
  </w:style>
  <w:style w:type="table" w:customStyle="1" w:styleId="18">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character" w:customStyle="1" w:styleId="19">
    <w:name w:val="正文文本 Char"/>
    <w:basedOn w:val="12"/>
    <w:link w:val="5"/>
    <w:uiPriority w:val="1"/>
    <w:rPr>
      <w:rFonts w:ascii="宋体" w:hAnsi="宋体" w:eastAsia="宋体" w:cs="宋体"/>
      <w:kern w:val="0"/>
      <w:sz w:val="24"/>
      <w:szCs w:val="24"/>
      <w:lang w:val="zh-CN" w:bidi="zh-CN"/>
    </w:rPr>
  </w:style>
  <w:style w:type="paragraph" w:styleId="20">
    <w:name w:val="List Paragraph"/>
    <w:basedOn w:val="1"/>
    <w:qFormat/>
    <w:uiPriority w:val="1"/>
    <w:pPr>
      <w:autoSpaceDE w:val="0"/>
      <w:autoSpaceDN w:val="0"/>
      <w:ind w:left="949" w:hanging="242"/>
      <w:jc w:val="left"/>
    </w:pPr>
    <w:rPr>
      <w:rFonts w:ascii="宋体" w:hAnsi="宋体" w:cs="宋体"/>
      <w:kern w:val="0"/>
      <w:sz w:val="22"/>
      <w:szCs w:val="22"/>
      <w:lang w:val="zh-CN" w:bidi="zh-CN"/>
    </w:rPr>
  </w:style>
  <w:style w:type="paragraph" w:customStyle="1" w:styleId="21">
    <w:name w:val="Table Paragraph"/>
    <w:basedOn w:val="1"/>
    <w:qFormat/>
    <w:uiPriority w:val="1"/>
    <w:pPr>
      <w:autoSpaceDE w:val="0"/>
      <w:autoSpaceDN w:val="0"/>
      <w:jc w:val="left"/>
    </w:pPr>
    <w:rPr>
      <w:rFonts w:ascii="宋体" w:hAnsi="宋体" w:cs="宋体"/>
      <w:kern w:val="0"/>
      <w:sz w:val="22"/>
      <w:szCs w:val="22"/>
      <w:lang w:val="zh-CN" w:bidi="zh-CN"/>
    </w:rPr>
  </w:style>
  <w:style w:type="character" w:customStyle="1" w:styleId="22">
    <w:name w:val="标题 2 Char"/>
    <w:basedOn w:val="12"/>
    <w:link w:val="3"/>
    <w:semiHidden/>
    <w:uiPriority w:val="9"/>
    <w:rPr>
      <w:rFonts w:asciiTheme="majorHAnsi" w:hAnsiTheme="majorHAnsi" w:eastAsiaTheme="majorEastAsia" w:cstheme="majorBidi"/>
      <w:b/>
      <w:bCs/>
      <w:sz w:val="32"/>
      <w:szCs w:val="32"/>
    </w:rPr>
  </w:style>
  <w:style w:type="paragraph" w:styleId="23">
    <w:name w:val="No Spacing"/>
    <w:link w:val="24"/>
    <w:qFormat/>
    <w:uiPriority w:val="1"/>
    <w:rPr>
      <w:rFonts w:asciiTheme="minorHAnsi" w:hAnsiTheme="minorHAnsi" w:eastAsiaTheme="minorEastAsia" w:cstheme="minorBidi"/>
      <w:kern w:val="0"/>
      <w:sz w:val="22"/>
      <w:szCs w:val="22"/>
      <w:lang w:val="en-US" w:eastAsia="zh-CN" w:bidi="ar-SA"/>
    </w:rPr>
  </w:style>
  <w:style w:type="character" w:customStyle="1" w:styleId="24">
    <w:name w:val="无间隔 Char"/>
    <w:basedOn w:val="12"/>
    <w:link w:val="23"/>
    <w:uiPriority w:val="1"/>
    <w:rPr>
      <w:kern w:val="0"/>
      <w:sz w:val="22"/>
    </w:rPr>
  </w:style>
  <w:style w:type="character" w:customStyle="1" w:styleId="25">
    <w:name w:val="批注框文本 Char"/>
    <w:basedOn w:val="12"/>
    <w:link w:val="8"/>
    <w:semiHidden/>
    <w:uiPriority w:val="99"/>
    <w:rPr>
      <w:rFonts w:ascii="Times New Roman" w:hAnsi="Times New Roman" w:eastAsia="宋体" w:cs="Times New Roman"/>
      <w:sz w:val="18"/>
      <w:szCs w:val="18"/>
    </w:rPr>
  </w:style>
  <w:style w:type="paragraph" w:customStyle="1" w:styleId="26">
    <w:name w:val="Default"/>
    <w:uiPriority w:val="0"/>
    <w:pPr>
      <w:widowControl w:val="0"/>
      <w:autoSpaceDE w:val="0"/>
      <w:autoSpaceDN w:val="0"/>
      <w:adjustRightInd w:val="0"/>
    </w:pPr>
    <w:rPr>
      <w:rFonts w:ascii="仿宋" w:hAnsi="仿宋" w:cs="仿宋" w:eastAsiaTheme="minorEastAsia"/>
      <w:color w:val="000000"/>
      <w:kern w:val="0"/>
      <w:sz w:val="24"/>
      <w:szCs w:val="24"/>
      <w:lang w:val="en-US" w:eastAsia="zh-CN" w:bidi="ar-SA"/>
    </w:rPr>
  </w:style>
  <w:style w:type="character" w:customStyle="1" w:styleId="27">
    <w:name w:val="正文文本缩进 2 Char"/>
    <w:basedOn w:val="12"/>
    <w:link w:val="7"/>
    <w:semiHidden/>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DEE889-814E-4223-8CDE-20C9A618EBA1}">
  <ds:schemaRefs/>
</ds:datastoreItem>
</file>

<file path=docProps/app.xml><?xml version="1.0" encoding="utf-8"?>
<Properties xmlns="http://schemas.openxmlformats.org/officeDocument/2006/extended-properties" xmlns:vt="http://schemas.openxmlformats.org/officeDocument/2006/docPropsVTypes">
  <Template>Normal</Template>
  <Pages>7</Pages>
  <Words>469</Words>
  <Characters>2675</Characters>
  <Lines>22</Lines>
  <Paragraphs>6</Paragraphs>
  <TotalTime>164</TotalTime>
  <ScaleCrop>false</ScaleCrop>
  <LinksUpToDate>false</LinksUpToDate>
  <CharactersWithSpaces>3138</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2019-06-13T07:57:00Z</dcterms:created>
  <dc:creator>Windows 用户</dc:creator>
  <cp:lastModifiedBy>AA</cp:lastModifiedBy>
  <cp:lastPrinted>2019-11-05T03:23:00Z</cp:lastPrinted>
  <dcterms:modified xsi:type="dcterms:W3CDTF">2019-11-05T03:28:12Z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